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400" w:rsidRDefault="002B5D4D">
      <w:pPr>
        <w:spacing w:line="304" w:lineRule="exact"/>
        <w:rPr>
          <w:sz w:val="24"/>
          <w:szCs w:val="24"/>
        </w:rPr>
      </w:pPr>
      <w:bookmarkStart w:id="0" w:name="page1"/>
      <w:bookmarkEnd w:id="0"/>
      <w:r>
        <w:rPr>
          <w:noProof/>
          <w:sz w:val="24"/>
          <w:szCs w:val="24"/>
        </w:rPr>
        <w:drawing>
          <wp:anchor distT="0" distB="0" distL="114300" distR="114300" simplePos="0" relativeHeight="251634688" behindDoc="1" locked="0" layoutInCell="0" allowOverlap="1">
            <wp:simplePos x="0" y="0"/>
            <wp:positionH relativeFrom="page">
              <wp:posOffset>197485</wp:posOffset>
            </wp:positionH>
            <wp:positionV relativeFrom="page">
              <wp:posOffset>113030</wp:posOffset>
            </wp:positionV>
            <wp:extent cx="1853565" cy="909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853565" cy="909320"/>
                    </a:xfrm>
                    <a:prstGeom prst="rect">
                      <a:avLst/>
                    </a:prstGeom>
                    <a:noFill/>
                  </pic:spPr>
                </pic:pic>
              </a:graphicData>
            </a:graphic>
          </wp:anchor>
        </w:drawing>
      </w:r>
    </w:p>
    <w:p w:rsidR="00120400" w:rsidRDefault="002B5D4D" w:rsidP="00D04287">
      <w:pPr>
        <w:spacing w:line="479" w:lineRule="auto"/>
        <w:ind w:right="1320"/>
        <w:jc w:val="center"/>
        <w:rPr>
          <w:sz w:val="20"/>
          <w:szCs w:val="20"/>
        </w:rPr>
      </w:pPr>
      <w:r>
        <w:rPr>
          <w:rFonts w:ascii="Cambria" w:eastAsia="Cambria" w:hAnsi="Cambria" w:cs="Cambria"/>
          <w:b/>
          <w:bCs/>
          <w:sz w:val="36"/>
          <w:szCs w:val="36"/>
        </w:rPr>
        <w:t>Mezinárodní Středoškolský Moot Court Základní pravidla pro ústní kolo</w:t>
      </w:r>
    </w:p>
    <w:p w:rsidR="00120400" w:rsidRDefault="00120400">
      <w:pPr>
        <w:spacing w:line="1" w:lineRule="exact"/>
        <w:rPr>
          <w:sz w:val="24"/>
          <w:szCs w:val="24"/>
        </w:rPr>
      </w:pPr>
    </w:p>
    <w:p w:rsidR="00120400" w:rsidRDefault="002B5D4D">
      <w:pPr>
        <w:spacing w:line="239" w:lineRule="auto"/>
        <w:ind w:right="20"/>
        <w:jc w:val="both"/>
        <w:rPr>
          <w:sz w:val="20"/>
          <w:szCs w:val="20"/>
        </w:rPr>
      </w:pPr>
      <w:r>
        <w:rPr>
          <w:rFonts w:ascii="Cambria" w:eastAsia="Cambria" w:hAnsi="Cambria" w:cs="Cambria"/>
          <w:sz w:val="26"/>
          <w:szCs w:val="26"/>
        </w:rPr>
        <w:t xml:space="preserve">V úvodu ústní části bude nejprve soudci uveden spor, o němž se bude jednat. Následně bude vyzván tým představující stěžovatele, aby přednesl své argumenty. Po uplynutí času, </w:t>
      </w:r>
      <w:r>
        <w:rPr>
          <w:rFonts w:ascii="Cambria" w:eastAsia="Cambria" w:hAnsi="Cambria" w:cs="Cambria"/>
          <w:sz w:val="26"/>
          <w:szCs w:val="26"/>
        </w:rPr>
        <w:t>který je týmu stanoven pro prezentaci jeho argumentů, dostane slovo druhý tým zastupující stát.</w:t>
      </w:r>
    </w:p>
    <w:p w:rsidR="00120400" w:rsidRDefault="00120400">
      <w:pPr>
        <w:spacing w:line="6" w:lineRule="exact"/>
        <w:rPr>
          <w:sz w:val="24"/>
          <w:szCs w:val="24"/>
        </w:rPr>
      </w:pPr>
    </w:p>
    <w:p w:rsidR="00120400" w:rsidRDefault="002B5D4D">
      <w:pPr>
        <w:spacing w:line="239" w:lineRule="auto"/>
        <w:ind w:firstLine="710"/>
        <w:jc w:val="both"/>
        <w:rPr>
          <w:sz w:val="20"/>
          <w:szCs w:val="20"/>
        </w:rPr>
      </w:pPr>
      <w:r>
        <w:rPr>
          <w:rFonts w:ascii="Cambria" w:eastAsia="Cambria" w:hAnsi="Cambria" w:cs="Cambria"/>
          <w:sz w:val="26"/>
          <w:szCs w:val="26"/>
        </w:rPr>
        <w:t>Poté týmy přednesou svou repliku, a to v pořadí navrhovatel a protistrana. Tým zastupující navrhovatele může ve své replice reagovat pouze na argumenty a skute</w:t>
      </w:r>
      <w:r>
        <w:rPr>
          <w:rFonts w:ascii="Cambria" w:eastAsia="Cambria" w:hAnsi="Cambria" w:cs="Cambria"/>
          <w:sz w:val="26"/>
          <w:szCs w:val="26"/>
        </w:rPr>
        <w:t>čnosti, které druhý tým zastupující protistranu ve své prezentaci použil. Tým zastupující protistranu může ve své replice reagovat pouze na argumenty a skutečnosti, které zazněly v replice navrhovatele.</w:t>
      </w:r>
    </w:p>
    <w:p w:rsidR="00120400" w:rsidRDefault="00120400">
      <w:pPr>
        <w:spacing w:line="8" w:lineRule="exact"/>
        <w:rPr>
          <w:sz w:val="24"/>
          <w:szCs w:val="24"/>
        </w:rPr>
      </w:pPr>
    </w:p>
    <w:p w:rsidR="00120400" w:rsidRDefault="002B5D4D">
      <w:pPr>
        <w:spacing w:line="239" w:lineRule="auto"/>
        <w:ind w:right="20" w:firstLine="710"/>
        <w:jc w:val="both"/>
        <w:rPr>
          <w:sz w:val="20"/>
          <w:szCs w:val="20"/>
        </w:rPr>
      </w:pPr>
      <w:r>
        <w:rPr>
          <w:rFonts w:ascii="Cambria" w:eastAsia="Cambria" w:hAnsi="Cambria" w:cs="Cambria"/>
          <w:sz w:val="26"/>
          <w:szCs w:val="26"/>
        </w:rPr>
        <w:t>Soudci mohou svými dotazy vstupovat do prezentace tý</w:t>
      </w:r>
      <w:r>
        <w:rPr>
          <w:rFonts w:ascii="Cambria" w:eastAsia="Cambria" w:hAnsi="Cambria" w:cs="Cambria"/>
          <w:sz w:val="26"/>
          <w:szCs w:val="26"/>
        </w:rPr>
        <w:t>mů, a to kromě času, který si týmy vyhradily pro repliku. Soudci nesmí do prezentace týmu jako celku zasahovat v</w:t>
      </w:r>
      <w:r w:rsidR="00D04287">
        <w:rPr>
          <w:rFonts w:ascii="Cambria" w:eastAsia="Cambria" w:hAnsi="Cambria" w:cs="Cambria"/>
          <w:sz w:val="26"/>
          <w:szCs w:val="26"/>
        </w:rPr>
        <w:t> </w:t>
      </w:r>
      <w:r>
        <w:rPr>
          <w:rFonts w:ascii="Cambria" w:eastAsia="Cambria" w:hAnsi="Cambria" w:cs="Cambria"/>
          <w:sz w:val="26"/>
          <w:szCs w:val="26"/>
        </w:rPr>
        <w:t>první</w:t>
      </w:r>
      <w:r w:rsidR="00D04287">
        <w:rPr>
          <w:rFonts w:ascii="Cambria" w:eastAsia="Cambria" w:hAnsi="Cambria" w:cs="Cambria"/>
          <w:sz w:val="26"/>
          <w:szCs w:val="26"/>
        </w:rPr>
        <w:t xml:space="preserve"> </w:t>
      </w:r>
      <w:r>
        <w:rPr>
          <w:rFonts w:ascii="Cambria" w:eastAsia="Cambria" w:hAnsi="Cambria" w:cs="Cambria"/>
          <w:sz w:val="26"/>
          <w:szCs w:val="26"/>
        </w:rPr>
        <w:t>minut</w:t>
      </w:r>
      <w:r w:rsidR="00D04287">
        <w:rPr>
          <w:rFonts w:ascii="Cambria" w:eastAsia="Cambria" w:hAnsi="Cambria" w:cs="Cambria"/>
          <w:sz w:val="26"/>
          <w:szCs w:val="26"/>
        </w:rPr>
        <w:t>ě</w:t>
      </w:r>
      <w:r>
        <w:rPr>
          <w:rFonts w:ascii="Cambria" w:eastAsia="Cambria" w:hAnsi="Cambria" w:cs="Cambria"/>
          <w:sz w:val="26"/>
          <w:szCs w:val="26"/>
        </w:rPr>
        <w:t xml:space="preserve"> prezentace prvního řečníka týmu a v poslední minutě prezentace posledního řečníka týmu. Pokud za tým prezentuje pouze jed</w:t>
      </w:r>
      <w:r>
        <w:rPr>
          <w:rFonts w:ascii="Cambria" w:eastAsia="Cambria" w:hAnsi="Cambria" w:cs="Cambria"/>
          <w:sz w:val="26"/>
          <w:szCs w:val="26"/>
        </w:rPr>
        <w:t>en řečník, soudci nesmí do jeho prezentace zasahovat v</w:t>
      </w:r>
      <w:r w:rsidR="00D04287">
        <w:rPr>
          <w:rFonts w:ascii="Cambria" w:eastAsia="Cambria" w:hAnsi="Cambria" w:cs="Cambria"/>
          <w:sz w:val="26"/>
          <w:szCs w:val="26"/>
        </w:rPr>
        <w:t> </w:t>
      </w:r>
      <w:r>
        <w:rPr>
          <w:rFonts w:ascii="Cambria" w:eastAsia="Cambria" w:hAnsi="Cambria" w:cs="Cambria"/>
          <w:sz w:val="26"/>
          <w:szCs w:val="26"/>
        </w:rPr>
        <w:t>první</w:t>
      </w:r>
      <w:r w:rsidR="00D04287">
        <w:rPr>
          <w:rFonts w:ascii="Cambria" w:eastAsia="Cambria" w:hAnsi="Cambria" w:cs="Cambria"/>
          <w:sz w:val="26"/>
          <w:szCs w:val="26"/>
        </w:rPr>
        <w:t xml:space="preserve"> a</w:t>
      </w:r>
      <w:r>
        <w:rPr>
          <w:rFonts w:ascii="Cambria" w:eastAsia="Cambria" w:hAnsi="Cambria" w:cs="Cambria"/>
          <w:sz w:val="26"/>
          <w:szCs w:val="26"/>
        </w:rPr>
        <w:t xml:space="preserve"> poslední minutě jeho prezentace. Člen týmu, který prezentuje, musí u své prezentace stát.</w:t>
      </w:r>
    </w:p>
    <w:p w:rsidR="00120400" w:rsidRDefault="00120400">
      <w:pPr>
        <w:spacing w:line="11" w:lineRule="exact"/>
        <w:rPr>
          <w:sz w:val="24"/>
          <w:szCs w:val="24"/>
        </w:rPr>
      </w:pPr>
    </w:p>
    <w:p w:rsidR="00120400" w:rsidRDefault="002B5D4D">
      <w:pPr>
        <w:ind w:firstLine="710"/>
        <w:jc w:val="both"/>
        <w:rPr>
          <w:sz w:val="20"/>
          <w:szCs w:val="20"/>
        </w:rPr>
      </w:pPr>
      <w:r>
        <w:rPr>
          <w:rFonts w:ascii="Cambria" w:eastAsia="Cambria" w:hAnsi="Cambria" w:cs="Cambria"/>
          <w:sz w:val="26"/>
          <w:szCs w:val="26"/>
        </w:rPr>
        <w:t>Všichni členové týmu, účastnící se ústní části jako řečníci spolu smí v jejím průběhu kom</w:t>
      </w:r>
      <w:r>
        <w:rPr>
          <w:rFonts w:ascii="Cambria" w:eastAsia="Cambria" w:hAnsi="Cambria" w:cs="Cambria"/>
          <w:sz w:val="26"/>
          <w:szCs w:val="26"/>
        </w:rPr>
        <w:t>unikovat, avšak pouze takovým způsobem, aby nerušili průběh ústní části. Je zakázána jakákoliv forma komunikace mezi členy týmu, kteří se účastní ústní části jako řečníci a kteroukoliv osobou přítomnou v místnosti v průběhu ústní části, vyjma soudců, kteří</w:t>
      </w:r>
      <w:r>
        <w:rPr>
          <w:rFonts w:ascii="Cambria" w:eastAsia="Cambria" w:hAnsi="Cambria" w:cs="Cambria"/>
          <w:sz w:val="26"/>
          <w:szCs w:val="26"/>
        </w:rPr>
        <w:t xml:space="preserve"> ústní část rozhodují. Členové týmu, kteří v daný okamžik neprezentují argumenty týmu, nesmí se soudci, rozhodujícími ústní část, jakýmkoliv způsobem komunikovat, pokud k tomu nebudou soudci vyzváni. Týmy, které v dané chvíli neprezentují, nemohou být přít</w:t>
      </w:r>
      <w:r>
        <w:rPr>
          <w:rFonts w:ascii="Cambria" w:eastAsia="Cambria" w:hAnsi="Cambria" w:cs="Cambria"/>
          <w:sz w:val="26"/>
          <w:szCs w:val="26"/>
        </w:rPr>
        <w:t>omny v jednací síni.</w:t>
      </w:r>
    </w:p>
    <w:p w:rsidR="00120400" w:rsidRDefault="00120400">
      <w:pPr>
        <w:spacing w:line="302" w:lineRule="exact"/>
        <w:rPr>
          <w:sz w:val="24"/>
          <w:szCs w:val="24"/>
        </w:rPr>
      </w:pPr>
    </w:p>
    <w:p w:rsidR="00120400" w:rsidRDefault="002B5D4D">
      <w:pPr>
        <w:spacing w:line="239" w:lineRule="auto"/>
        <w:ind w:right="20" w:firstLine="710"/>
        <w:jc w:val="both"/>
        <w:rPr>
          <w:sz w:val="20"/>
          <w:szCs w:val="20"/>
        </w:rPr>
      </w:pPr>
      <w:r>
        <w:rPr>
          <w:rFonts w:ascii="Cambria" w:eastAsia="Cambria" w:hAnsi="Cambria" w:cs="Cambria"/>
          <w:sz w:val="26"/>
          <w:szCs w:val="26"/>
        </w:rPr>
        <w:t>Soutěžní týmy mohou ve svých prezentacích použít i argumenty, které nejsou obsaženy v jejich písemných podáních. Týmy by měly reagovat na argumenty protistrany, nemusí se však věnovat všem argumentům, které od jejich soupeře odzněly b</w:t>
      </w:r>
      <w:r>
        <w:rPr>
          <w:rFonts w:ascii="Cambria" w:eastAsia="Cambria" w:hAnsi="Cambria" w:cs="Cambria"/>
          <w:sz w:val="26"/>
          <w:szCs w:val="26"/>
        </w:rPr>
        <w:t>ěhem jeho prezentace.</w:t>
      </w:r>
    </w:p>
    <w:p w:rsidR="00120400" w:rsidRDefault="00120400">
      <w:pPr>
        <w:spacing w:line="6" w:lineRule="exact"/>
        <w:rPr>
          <w:sz w:val="24"/>
          <w:szCs w:val="24"/>
        </w:rPr>
      </w:pPr>
    </w:p>
    <w:p w:rsidR="00120400" w:rsidRDefault="002B5D4D">
      <w:pPr>
        <w:spacing w:line="239" w:lineRule="auto"/>
        <w:ind w:right="20" w:firstLine="710"/>
        <w:jc w:val="both"/>
        <w:rPr>
          <w:sz w:val="20"/>
          <w:szCs w:val="20"/>
        </w:rPr>
      </w:pPr>
      <w:r>
        <w:rPr>
          <w:rFonts w:ascii="Cambria" w:eastAsia="Cambria" w:hAnsi="Cambria" w:cs="Cambria"/>
          <w:sz w:val="26"/>
          <w:szCs w:val="26"/>
        </w:rPr>
        <w:t>Týmy nesmí v průběhu ústní části rušit její průběh, používat vulgární výrazy, osočovat soudce či členy druhého týmu nebo se jiným způsobem nevhodně chovat.</w:t>
      </w:r>
    </w:p>
    <w:p w:rsidR="00120400" w:rsidRDefault="00120400">
      <w:pPr>
        <w:spacing w:line="5" w:lineRule="exact"/>
        <w:rPr>
          <w:sz w:val="24"/>
          <w:szCs w:val="24"/>
        </w:rPr>
      </w:pPr>
    </w:p>
    <w:p w:rsidR="00120400" w:rsidRDefault="002B5D4D">
      <w:pPr>
        <w:spacing w:line="239" w:lineRule="auto"/>
        <w:ind w:right="20" w:firstLine="710"/>
        <w:jc w:val="both"/>
        <w:rPr>
          <w:sz w:val="20"/>
          <w:szCs w:val="20"/>
        </w:rPr>
      </w:pPr>
      <w:r>
        <w:rPr>
          <w:rFonts w:ascii="Cambria" w:eastAsia="Cambria" w:hAnsi="Cambria" w:cs="Cambria"/>
          <w:sz w:val="26"/>
          <w:szCs w:val="26"/>
        </w:rPr>
        <w:t>Po skončení ústní části musí všichni přítomní opustit místnost a nechat soud</w:t>
      </w:r>
      <w:r>
        <w:rPr>
          <w:rFonts w:ascii="Cambria" w:eastAsia="Cambria" w:hAnsi="Cambria" w:cs="Cambria"/>
          <w:sz w:val="26"/>
          <w:szCs w:val="26"/>
        </w:rPr>
        <w:t>cům prostor k poradě. Poté jsou týmy spolu s jejich kouči soudci opět pozvány dovnitř, aby bezprostředně po skončení ústního kola obdržely zpětnou vazbu.</w:t>
      </w:r>
    </w:p>
    <w:p w:rsidR="00120400" w:rsidRDefault="00120400">
      <w:pPr>
        <w:spacing w:line="6" w:lineRule="exact"/>
        <w:rPr>
          <w:sz w:val="24"/>
          <w:szCs w:val="24"/>
        </w:rPr>
      </w:pPr>
    </w:p>
    <w:p w:rsidR="00120400" w:rsidRDefault="002B5D4D">
      <w:pPr>
        <w:spacing w:line="239" w:lineRule="auto"/>
        <w:ind w:right="20" w:firstLine="710"/>
        <w:jc w:val="both"/>
        <w:rPr>
          <w:sz w:val="20"/>
          <w:szCs w:val="20"/>
        </w:rPr>
      </w:pPr>
      <w:r>
        <w:rPr>
          <w:rFonts w:ascii="Cambria" w:eastAsia="Cambria" w:hAnsi="Cambria" w:cs="Cambria"/>
          <w:sz w:val="26"/>
          <w:szCs w:val="26"/>
        </w:rPr>
        <w:t>Veřejnost nesmí jakýmkoliv způsobem rušit průběh ústní části. V případě nedodržení tohoto pravidla mů</w:t>
      </w:r>
      <w:r>
        <w:rPr>
          <w:rFonts w:ascii="Cambria" w:eastAsia="Cambria" w:hAnsi="Cambria" w:cs="Cambria"/>
          <w:sz w:val="26"/>
          <w:szCs w:val="26"/>
        </w:rPr>
        <w:t>že být kterákoliv osoba účastnící se ústní části</w:t>
      </w:r>
    </w:p>
    <w:p w:rsidR="00120400" w:rsidRDefault="002B5D4D">
      <w:pPr>
        <w:spacing w:line="20" w:lineRule="exact"/>
        <w:rPr>
          <w:sz w:val="24"/>
          <w:szCs w:val="24"/>
        </w:rPr>
      </w:pPr>
      <w:r>
        <w:rPr>
          <w:noProof/>
          <w:sz w:val="24"/>
          <w:szCs w:val="24"/>
        </w:rPr>
        <w:drawing>
          <wp:anchor distT="0" distB="0" distL="114300" distR="114300" simplePos="0" relativeHeight="251635712" behindDoc="1" locked="0" layoutInCell="0" allowOverlap="1">
            <wp:simplePos x="0" y="0"/>
            <wp:positionH relativeFrom="column">
              <wp:posOffset>4784725</wp:posOffset>
            </wp:positionH>
            <wp:positionV relativeFrom="paragraph">
              <wp:posOffset>95250</wp:posOffset>
            </wp:positionV>
            <wp:extent cx="1628775" cy="916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628775" cy="916305"/>
                    </a:xfrm>
                    <a:prstGeom prst="rect">
                      <a:avLst/>
                    </a:prstGeom>
                    <a:noFill/>
                  </pic:spPr>
                </pic:pic>
              </a:graphicData>
            </a:graphic>
          </wp:anchor>
        </w:drawing>
      </w:r>
    </w:p>
    <w:p w:rsidR="00120400" w:rsidRDefault="00120400">
      <w:pPr>
        <w:sectPr w:rsidR="00120400">
          <w:pgSz w:w="11900" w:h="16840"/>
          <w:pgMar w:top="1440" w:right="1405" w:bottom="1440" w:left="1420" w:header="0" w:footer="0" w:gutter="0"/>
          <w:cols w:space="708" w:equalWidth="0">
            <w:col w:w="9080"/>
          </w:cols>
        </w:sectPr>
      </w:pPr>
    </w:p>
    <w:p w:rsidR="00120400" w:rsidRDefault="002B5D4D">
      <w:pPr>
        <w:spacing w:line="302" w:lineRule="exact"/>
        <w:rPr>
          <w:sz w:val="20"/>
          <w:szCs w:val="20"/>
        </w:rPr>
      </w:pPr>
      <w:bookmarkStart w:id="1" w:name="page2"/>
      <w:bookmarkEnd w:id="1"/>
      <w:r>
        <w:rPr>
          <w:noProof/>
          <w:sz w:val="20"/>
          <w:szCs w:val="20"/>
        </w:rPr>
        <w:lastRenderedPageBreak/>
        <w:drawing>
          <wp:anchor distT="0" distB="0" distL="114300" distR="114300" simplePos="0" relativeHeight="251636736" behindDoc="1" locked="0" layoutInCell="0" allowOverlap="1">
            <wp:simplePos x="0" y="0"/>
            <wp:positionH relativeFrom="page">
              <wp:posOffset>197485</wp:posOffset>
            </wp:positionH>
            <wp:positionV relativeFrom="page">
              <wp:posOffset>113030</wp:posOffset>
            </wp:positionV>
            <wp:extent cx="1853565" cy="909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853565" cy="909320"/>
                    </a:xfrm>
                    <a:prstGeom prst="rect">
                      <a:avLst/>
                    </a:prstGeom>
                    <a:noFill/>
                  </pic:spPr>
                </pic:pic>
              </a:graphicData>
            </a:graphic>
          </wp:anchor>
        </w:drawing>
      </w:r>
    </w:p>
    <w:p w:rsidR="00120400" w:rsidRDefault="002B5D4D">
      <w:pPr>
        <w:rPr>
          <w:sz w:val="20"/>
          <w:szCs w:val="20"/>
        </w:rPr>
      </w:pPr>
      <w:r>
        <w:rPr>
          <w:rFonts w:ascii="Cambria" w:eastAsia="Cambria" w:hAnsi="Cambria" w:cs="Cambria"/>
          <w:sz w:val="26"/>
          <w:szCs w:val="26"/>
        </w:rPr>
        <w:t>jako veřejnost z místnosti vykázána předsedou senátu, který ústní část rozhoduje.</w:t>
      </w:r>
    </w:p>
    <w:p w:rsidR="00120400" w:rsidRDefault="00120400">
      <w:pPr>
        <w:spacing w:line="200" w:lineRule="exact"/>
        <w:rPr>
          <w:sz w:val="20"/>
          <w:szCs w:val="20"/>
        </w:rPr>
      </w:pPr>
    </w:p>
    <w:p w:rsidR="00120400" w:rsidRDefault="00120400">
      <w:pPr>
        <w:spacing w:line="224" w:lineRule="exact"/>
        <w:rPr>
          <w:sz w:val="20"/>
          <w:szCs w:val="20"/>
        </w:rPr>
      </w:pPr>
    </w:p>
    <w:p w:rsidR="00120400" w:rsidRDefault="002B5D4D">
      <w:pPr>
        <w:ind w:left="700"/>
        <w:rPr>
          <w:sz w:val="20"/>
          <w:szCs w:val="20"/>
        </w:rPr>
      </w:pPr>
      <w:r>
        <w:rPr>
          <w:rFonts w:ascii="Cambria" w:eastAsia="Cambria" w:hAnsi="Cambria" w:cs="Cambria"/>
          <w:b/>
          <w:bCs/>
          <w:sz w:val="28"/>
          <w:szCs w:val="28"/>
        </w:rPr>
        <w:t>Forma ústní části soutěže</w:t>
      </w:r>
    </w:p>
    <w:p w:rsidR="00120400" w:rsidRDefault="002B5D4D">
      <w:pPr>
        <w:spacing w:line="238" w:lineRule="auto"/>
        <w:rPr>
          <w:sz w:val="20"/>
          <w:szCs w:val="20"/>
        </w:rPr>
      </w:pPr>
      <w:r>
        <w:rPr>
          <w:rFonts w:ascii="Cambria" w:eastAsia="Cambria" w:hAnsi="Cambria" w:cs="Cambria"/>
          <w:sz w:val="26"/>
          <w:szCs w:val="26"/>
        </w:rPr>
        <w:t>Ústní část soutěže má tuto strukturu:</w:t>
      </w:r>
    </w:p>
    <w:p w:rsidR="00120400" w:rsidRDefault="00120400">
      <w:pPr>
        <w:spacing w:line="308" w:lineRule="exact"/>
        <w:rPr>
          <w:sz w:val="20"/>
          <w:szCs w:val="20"/>
        </w:rPr>
      </w:pPr>
    </w:p>
    <w:p w:rsidR="00120400" w:rsidRDefault="002B5D4D">
      <w:pPr>
        <w:numPr>
          <w:ilvl w:val="0"/>
          <w:numId w:val="1"/>
        </w:numPr>
        <w:tabs>
          <w:tab w:val="left" w:pos="720"/>
        </w:tabs>
        <w:spacing w:line="239" w:lineRule="auto"/>
        <w:ind w:left="720" w:hanging="364"/>
        <w:rPr>
          <w:rFonts w:ascii="Cambria" w:eastAsia="Cambria" w:hAnsi="Cambria" w:cs="Cambria"/>
          <w:sz w:val="26"/>
          <w:szCs w:val="26"/>
        </w:rPr>
      </w:pPr>
      <w:r>
        <w:rPr>
          <w:rFonts w:ascii="Cambria" w:eastAsia="Cambria" w:hAnsi="Cambria" w:cs="Cambria"/>
          <w:sz w:val="26"/>
          <w:szCs w:val="26"/>
        </w:rPr>
        <w:t xml:space="preserve">tým zastupující </w:t>
      </w:r>
      <w:r>
        <w:rPr>
          <w:rFonts w:ascii="Cambria" w:eastAsia="Cambria" w:hAnsi="Cambria" w:cs="Cambria"/>
          <w:sz w:val="26"/>
          <w:szCs w:val="26"/>
        </w:rPr>
        <w:t>navrhovatele představí argumenty své strany sporu (dále jen „úvodní prezentace navrhovatele“)</w:t>
      </w:r>
    </w:p>
    <w:p w:rsidR="00120400" w:rsidRDefault="00120400">
      <w:pPr>
        <w:spacing w:line="3" w:lineRule="exact"/>
        <w:rPr>
          <w:rFonts w:ascii="Cambria" w:eastAsia="Cambria" w:hAnsi="Cambria" w:cs="Cambria"/>
          <w:sz w:val="26"/>
          <w:szCs w:val="26"/>
        </w:rPr>
      </w:pPr>
    </w:p>
    <w:p w:rsidR="00120400" w:rsidRDefault="002B5D4D">
      <w:pPr>
        <w:numPr>
          <w:ilvl w:val="0"/>
          <w:numId w:val="1"/>
        </w:numPr>
        <w:tabs>
          <w:tab w:val="left" w:pos="720"/>
        </w:tabs>
        <w:spacing w:line="237" w:lineRule="auto"/>
        <w:ind w:left="720" w:hanging="364"/>
        <w:rPr>
          <w:rFonts w:ascii="Cambria" w:eastAsia="Cambria" w:hAnsi="Cambria" w:cs="Cambria"/>
          <w:sz w:val="26"/>
          <w:szCs w:val="26"/>
        </w:rPr>
      </w:pPr>
      <w:r>
        <w:rPr>
          <w:rFonts w:ascii="Cambria" w:eastAsia="Cambria" w:hAnsi="Cambria" w:cs="Cambria"/>
          <w:sz w:val="26"/>
          <w:szCs w:val="26"/>
        </w:rPr>
        <w:t>tým zastupující protistranu představí argumenty své strany sporu (dále jen úvodní prezentace protistrany“)</w:t>
      </w:r>
    </w:p>
    <w:p w:rsidR="00120400" w:rsidRDefault="00120400">
      <w:pPr>
        <w:spacing w:line="2" w:lineRule="exact"/>
        <w:rPr>
          <w:rFonts w:ascii="Cambria" w:eastAsia="Cambria" w:hAnsi="Cambria" w:cs="Cambria"/>
          <w:sz w:val="26"/>
          <w:szCs w:val="26"/>
        </w:rPr>
      </w:pPr>
    </w:p>
    <w:p w:rsidR="00120400" w:rsidRDefault="002B5D4D">
      <w:pPr>
        <w:numPr>
          <w:ilvl w:val="0"/>
          <w:numId w:val="1"/>
        </w:numPr>
        <w:tabs>
          <w:tab w:val="left" w:pos="720"/>
        </w:tabs>
        <w:spacing w:line="239" w:lineRule="auto"/>
        <w:ind w:left="720" w:hanging="364"/>
        <w:rPr>
          <w:rFonts w:ascii="Cambria" w:eastAsia="Cambria" w:hAnsi="Cambria" w:cs="Cambria"/>
          <w:sz w:val="26"/>
          <w:szCs w:val="26"/>
        </w:rPr>
      </w:pPr>
      <w:r>
        <w:rPr>
          <w:rFonts w:ascii="Cambria" w:eastAsia="Cambria" w:hAnsi="Cambria" w:cs="Cambria"/>
          <w:sz w:val="26"/>
          <w:szCs w:val="26"/>
        </w:rPr>
        <w:t>tým zastupující navrhovatele reaguje na argumenty pře</w:t>
      </w:r>
      <w:r>
        <w:rPr>
          <w:rFonts w:ascii="Cambria" w:eastAsia="Cambria" w:hAnsi="Cambria" w:cs="Cambria"/>
          <w:sz w:val="26"/>
          <w:szCs w:val="26"/>
        </w:rPr>
        <w:t>dnesené žalovaným (dále jen „replika navrhovatele“)</w:t>
      </w:r>
    </w:p>
    <w:p w:rsidR="00120400" w:rsidRDefault="00120400">
      <w:pPr>
        <w:spacing w:line="2" w:lineRule="exact"/>
        <w:rPr>
          <w:rFonts w:ascii="Cambria" w:eastAsia="Cambria" w:hAnsi="Cambria" w:cs="Cambria"/>
          <w:sz w:val="26"/>
          <w:szCs w:val="26"/>
        </w:rPr>
      </w:pPr>
    </w:p>
    <w:p w:rsidR="00120400" w:rsidRDefault="002B5D4D">
      <w:pPr>
        <w:numPr>
          <w:ilvl w:val="0"/>
          <w:numId w:val="1"/>
        </w:numPr>
        <w:tabs>
          <w:tab w:val="left" w:pos="720"/>
        </w:tabs>
        <w:spacing w:line="239" w:lineRule="auto"/>
        <w:ind w:left="720" w:hanging="364"/>
        <w:rPr>
          <w:rFonts w:ascii="Cambria" w:eastAsia="Cambria" w:hAnsi="Cambria" w:cs="Cambria"/>
          <w:sz w:val="26"/>
          <w:szCs w:val="26"/>
        </w:rPr>
      </w:pPr>
      <w:r>
        <w:rPr>
          <w:rFonts w:ascii="Cambria" w:eastAsia="Cambria" w:hAnsi="Cambria" w:cs="Cambria"/>
          <w:sz w:val="26"/>
          <w:szCs w:val="26"/>
        </w:rPr>
        <w:t>tým zastupující protistranu reaguje na argumenty přednesené žalobcem (dále jen „replika protistrany“).</w:t>
      </w:r>
    </w:p>
    <w:p w:rsidR="00120400" w:rsidRDefault="00120400">
      <w:pPr>
        <w:spacing w:line="310" w:lineRule="exact"/>
        <w:rPr>
          <w:sz w:val="20"/>
          <w:szCs w:val="20"/>
        </w:rPr>
      </w:pPr>
    </w:p>
    <w:p w:rsidR="00120400" w:rsidRDefault="002B5D4D">
      <w:pPr>
        <w:rPr>
          <w:sz w:val="20"/>
          <w:szCs w:val="20"/>
        </w:rPr>
      </w:pPr>
      <w:r>
        <w:rPr>
          <w:rFonts w:ascii="Cambria" w:eastAsia="Cambria" w:hAnsi="Cambria" w:cs="Cambria"/>
          <w:b/>
          <w:bCs/>
          <w:sz w:val="28"/>
          <w:szCs w:val="28"/>
        </w:rPr>
        <w:t>Obsahové omezení rozsahu ústních prezentací</w:t>
      </w:r>
    </w:p>
    <w:p w:rsidR="00120400" w:rsidRDefault="002B5D4D">
      <w:pPr>
        <w:spacing w:line="239" w:lineRule="auto"/>
        <w:jc w:val="both"/>
        <w:rPr>
          <w:sz w:val="20"/>
          <w:szCs w:val="20"/>
        </w:rPr>
      </w:pPr>
      <w:r>
        <w:rPr>
          <w:rFonts w:ascii="Cambria" w:eastAsia="Cambria" w:hAnsi="Cambria" w:cs="Cambria"/>
          <w:sz w:val="26"/>
          <w:szCs w:val="26"/>
        </w:rPr>
        <w:t xml:space="preserve">V rámci úvodních prezentací mohou týmy použít nové či </w:t>
      </w:r>
      <w:r>
        <w:rPr>
          <w:rFonts w:ascii="Cambria" w:eastAsia="Cambria" w:hAnsi="Cambria" w:cs="Cambria"/>
          <w:sz w:val="26"/>
          <w:szCs w:val="26"/>
        </w:rPr>
        <w:t>pozměněné argumenty, než jak byly použity v jejich písemných podáních. V rámci repliky smí tým reagovat pouze na argumenty použité týmem zastupujícím protistranu v rámci úvodní prezentace tohoto týmu.</w:t>
      </w:r>
    </w:p>
    <w:p w:rsidR="00120400" w:rsidRDefault="00120400">
      <w:pPr>
        <w:spacing w:line="312" w:lineRule="exact"/>
        <w:rPr>
          <w:sz w:val="20"/>
          <w:szCs w:val="20"/>
        </w:rPr>
      </w:pPr>
    </w:p>
    <w:p w:rsidR="00120400" w:rsidRDefault="002B5D4D">
      <w:pPr>
        <w:spacing w:line="239" w:lineRule="auto"/>
        <w:jc w:val="both"/>
        <w:rPr>
          <w:sz w:val="20"/>
          <w:szCs w:val="20"/>
        </w:rPr>
      </w:pPr>
      <w:r>
        <w:rPr>
          <w:rFonts w:ascii="Cambria" w:eastAsia="Cambria" w:hAnsi="Cambria" w:cs="Cambria"/>
          <w:b/>
          <w:bCs/>
          <w:sz w:val="28"/>
          <w:szCs w:val="28"/>
        </w:rPr>
        <w:t xml:space="preserve">Časové vymezení ústní prezentace, úloha </w:t>
      </w:r>
      <w:r>
        <w:rPr>
          <w:rFonts w:ascii="Cambria" w:eastAsia="Cambria" w:hAnsi="Cambria" w:cs="Cambria"/>
          <w:b/>
          <w:bCs/>
          <w:sz w:val="28"/>
          <w:szCs w:val="28"/>
        </w:rPr>
        <w:t>časoměřiče a pravidla pro počítání času</w:t>
      </w:r>
    </w:p>
    <w:p w:rsidR="00120400" w:rsidRDefault="002B5D4D">
      <w:pPr>
        <w:spacing w:line="239" w:lineRule="auto"/>
        <w:jc w:val="both"/>
        <w:rPr>
          <w:sz w:val="20"/>
          <w:szCs w:val="20"/>
        </w:rPr>
      </w:pPr>
      <w:r>
        <w:rPr>
          <w:rFonts w:ascii="Cambria" w:eastAsia="Cambria" w:hAnsi="Cambria" w:cs="Cambria"/>
          <w:sz w:val="26"/>
          <w:szCs w:val="26"/>
        </w:rPr>
        <w:t>Celkový čas vymezený jedné ústní prezentaci dvou týmů je 30 minut. V rámci těchto třiceti minut je 15 minut přiděleno každému z týmů. Týmy si však smí v rámci těchto 15ti minut rozdělit čas pro úvodní prezentaci a pr</w:t>
      </w:r>
      <w:r>
        <w:rPr>
          <w:rFonts w:ascii="Cambria" w:eastAsia="Cambria" w:hAnsi="Cambria" w:cs="Cambria"/>
          <w:sz w:val="26"/>
          <w:szCs w:val="26"/>
        </w:rPr>
        <w:t>o repliku dle svého uvážení. Doporučený čas pro repliku je maximálně 5 minut a minimálně jedna minuta. Svou volbu rozvržení času mezi úvodní prezentaci a repliku sdělí tým na začátku své úvodní prezentace časoměřiči.</w:t>
      </w:r>
    </w:p>
    <w:p w:rsidR="00120400" w:rsidRDefault="00120400">
      <w:pPr>
        <w:spacing w:line="9" w:lineRule="exact"/>
        <w:rPr>
          <w:sz w:val="20"/>
          <w:szCs w:val="20"/>
        </w:rPr>
      </w:pPr>
    </w:p>
    <w:p w:rsidR="00120400" w:rsidRDefault="002B5D4D">
      <w:pPr>
        <w:spacing w:line="239" w:lineRule="auto"/>
        <w:ind w:firstLine="710"/>
        <w:jc w:val="both"/>
        <w:rPr>
          <w:sz w:val="20"/>
          <w:szCs w:val="20"/>
        </w:rPr>
      </w:pPr>
      <w:r>
        <w:rPr>
          <w:rFonts w:ascii="Cambria" w:eastAsia="Cambria" w:hAnsi="Cambria" w:cs="Cambria"/>
          <w:sz w:val="26"/>
          <w:szCs w:val="26"/>
        </w:rPr>
        <w:t>Úlohou časoměřiče je sledovat dodržová</w:t>
      </w:r>
      <w:r>
        <w:rPr>
          <w:rFonts w:ascii="Cambria" w:eastAsia="Cambria" w:hAnsi="Cambria" w:cs="Cambria"/>
          <w:sz w:val="26"/>
          <w:szCs w:val="26"/>
        </w:rPr>
        <w:t>ní času vymezeného jednotlivým týmům pro různé úkony. Jelikož je čas pro ústní prezentace omezen, je úkolem časoměřiče signalizovat týmům, kolik času jim zbývá do vypršení časového limitu jednotlivého úkonu (například do ukončení úvodní prezentace).</w:t>
      </w:r>
    </w:p>
    <w:p w:rsidR="00120400" w:rsidRDefault="00120400">
      <w:pPr>
        <w:spacing w:line="309" w:lineRule="exact"/>
        <w:rPr>
          <w:sz w:val="20"/>
          <w:szCs w:val="20"/>
        </w:rPr>
      </w:pPr>
    </w:p>
    <w:p w:rsidR="00120400" w:rsidRDefault="002B5D4D">
      <w:pPr>
        <w:rPr>
          <w:sz w:val="20"/>
          <w:szCs w:val="20"/>
        </w:rPr>
      </w:pPr>
      <w:r>
        <w:rPr>
          <w:rFonts w:ascii="Cambria" w:eastAsia="Cambria" w:hAnsi="Cambria" w:cs="Cambria"/>
          <w:sz w:val="26"/>
          <w:szCs w:val="26"/>
        </w:rPr>
        <w:t>V rám</w:t>
      </w:r>
      <w:r>
        <w:rPr>
          <w:rFonts w:ascii="Cambria" w:eastAsia="Cambria" w:hAnsi="Cambria" w:cs="Cambria"/>
          <w:sz w:val="26"/>
          <w:szCs w:val="26"/>
        </w:rPr>
        <w:t>ci ústních prezentací signalizuje časoměřič týmům:</w:t>
      </w:r>
    </w:p>
    <w:p w:rsidR="00120400" w:rsidRDefault="002B5D4D">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226060</wp:posOffset>
            </wp:positionH>
            <wp:positionV relativeFrom="paragraph">
              <wp:posOffset>46990</wp:posOffset>
            </wp:positionV>
            <wp:extent cx="330200" cy="219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7" w:lineRule="exact"/>
        <w:rPr>
          <w:sz w:val="20"/>
          <w:szCs w:val="20"/>
        </w:rPr>
      </w:pPr>
    </w:p>
    <w:p w:rsidR="00120400" w:rsidRDefault="002B5D4D">
      <w:pPr>
        <w:spacing w:line="237" w:lineRule="auto"/>
        <w:ind w:left="720"/>
        <w:rPr>
          <w:sz w:val="20"/>
          <w:szCs w:val="20"/>
        </w:rPr>
      </w:pPr>
      <w:r>
        <w:rPr>
          <w:rFonts w:ascii="Cambria" w:eastAsia="Cambria" w:hAnsi="Cambria" w:cs="Cambria"/>
          <w:sz w:val="26"/>
          <w:szCs w:val="26"/>
        </w:rPr>
        <w:t>že uplynuly první minuta od zahájení úvodní prezentace, a to zdvižením čísla „1“</w:t>
      </w:r>
    </w:p>
    <w:p w:rsidR="00120400" w:rsidRDefault="002B5D4D">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226060</wp:posOffset>
            </wp:positionH>
            <wp:positionV relativeFrom="paragraph">
              <wp:posOffset>47625</wp:posOffset>
            </wp:positionV>
            <wp:extent cx="330200" cy="219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8" w:lineRule="exact"/>
        <w:rPr>
          <w:sz w:val="20"/>
          <w:szCs w:val="20"/>
        </w:rPr>
      </w:pPr>
    </w:p>
    <w:p w:rsidR="00120400" w:rsidRDefault="002B5D4D">
      <w:pPr>
        <w:spacing w:line="239" w:lineRule="auto"/>
        <w:ind w:left="720"/>
        <w:rPr>
          <w:sz w:val="20"/>
          <w:szCs w:val="20"/>
        </w:rPr>
      </w:pPr>
      <w:r>
        <w:rPr>
          <w:rFonts w:ascii="Cambria" w:eastAsia="Cambria" w:hAnsi="Cambria" w:cs="Cambria"/>
          <w:sz w:val="26"/>
          <w:szCs w:val="26"/>
        </w:rPr>
        <w:t>že je tým uprostřed časového úseku, který si vyhradily pro úvodní prezentaci, a to zdvižením slova „STŘED“</w:t>
      </w:r>
    </w:p>
    <w:p w:rsidR="00120400" w:rsidRDefault="002B5D4D">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226060</wp:posOffset>
            </wp:positionH>
            <wp:positionV relativeFrom="paragraph">
              <wp:posOffset>47625</wp:posOffset>
            </wp:positionV>
            <wp:extent cx="330200" cy="219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8" w:lineRule="exact"/>
        <w:rPr>
          <w:sz w:val="20"/>
          <w:szCs w:val="20"/>
        </w:rPr>
      </w:pPr>
    </w:p>
    <w:p w:rsidR="00120400" w:rsidRDefault="002B5D4D">
      <w:pPr>
        <w:spacing w:line="239" w:lineRule="auto"/>
        <w:ind w:left="720"/>
        <w:rPr>
          <w:sz w:val="20"/>
          <w:szCs w:val="20"/>
        </w:rPr>
      </w:pPr>
      <w:r>
        <w:rPr>
          <w:rFonts w:ascii="Cambria" w:eastAsia="Cambria" w:hAnsi="Cambria" w:cs="Cambria"/>
          <w:sz w:val="26"/>
          <w:szCs w:val="26"/>
        </w:rPr>
        <w:t>že do uk</w:t>
      </w:r>
      <w:r>
        <w:rPr>
          <w:rFonts w:ascii="Cambria" w:eastAsia="Cambria" w:hAnsi="Cambria" w:cs="Cambria"/>
          <w:sz w:val="26"/>
          <w:szCs w:val="26"/>
        </w:rPr>
        <w:t>ončení úvodní prezentace zbývají týmu 3 minuty, a to zdvižením čísla „3“</w:t>
      </w:r>
    </w:p>
    <w:p w:rsidR="00120400" w:rsidRDefault="002B5D4D">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226060</wp:posOffset>
            </wp:positionH>
            <wp:positionV relativeFrom="paragraph">
              <wp:posOffset>47625</wp:posOffset>
            </wp:positionV>
            <wp:extent cx="330200" cy="219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8" w:lineRule="exact"/>
        <w:rPr>
          <w:sz w:val="20"/>
          <w:szCs w:val="20"/>
        </w:rPr>
      </w:pPr>
    </w:p>
    <w:p w:rsidR="00120400" w:rsidRDefault="002B5D4D">
      <w:pPr>
        <w:spacing w:line="239" w:lineRule="auto"/>
        <w:ind w:left="720"/>
        <w:rPr>
          <w:sz w:val="20"/>
          <w:szCs w:val="20"/>
        </w:rPr>
      </w:pPr>
      <w:r>
        <w:rPr>
          <w:rFonts w:ascii="Cambria" w:eastAsia="Cambria" w:hAnsi="Cambria" w:cs="Cambria"/>
          <w:sz w:val="26"/>
          <w:szCs w:val="26"/>
        </w:rPr>
        <w:t>že do ukončení úvodní prezentace zbývá týmu poslední minuta, a to zdvižením čísla „1“</w:t>
      </w:r>
    </w:p>
    <w:p w:rsidR="00120400" w:rsidRDefault="002B5D4D">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4784725</wp:posOffset>
            </wp:positionH>
            <wp:positionV relativeFrom="paragraph">
              <wp:posOffset>44450</wp:posOffset>
            </wp:positionV>
            <wp:extent cx="1628775" cy="9163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1628775" cy="916305"/>
                    </a:xfrm>
                    <a:prstGeom prst="rect">
                      <a:avLst/>
                    </a:prstGeom>
                    <a:noFill/>
                  </pic:spPr>
                </pic:pic>
              </a:graphicData>
            </a:graphic>
          </wp:anchor>
        </w:drawing>
      </w:r>
    </w:p>
    <w:p w:rsidR="00120400" w:rsidRDefault="00120400">
      <w:pPr>
        <w:sectPr w:rsidR="00120400">
          <w:pgSz w:w="11900" w:h="16840"/>
          <w:pgMar w:top="1440" w:right="1425" w:bottom="1440" w:left="1420" w:header="0" w:footer="0" w:gutter="0"/>
          <w:cols w:space="708" w:equalWidth="0">
            <w:col w:w="9060"/>
          </w:cols>
        </w:sectPr>
      </w:pPr>
    </w:p>
    <w:p w:rsidR="00120400" w:rsidRDefault="002B5D4D">
      <w:pPr>
        <w:spacing w:line="302" w:lineRule="exact"/>
        <w:rPr>
          <w:sz w:val="20"/>
          <w:szCs w:val="20"/>
        </w:rPr>
      </w:pPr>
      <w:bookmarkStart w:id="2" w:name="page3"/>
      <w:bookmarkEnd w:id="2"/>
      <w:r>
        <w:rPr>
          <w:noProof/>
          <w:sz w:val="20"/>
          <w:szCs w:val="20"/>
        </w:rPr>
        <w:lastRenderedPageBreak/>
        <w:drawing>
          <wp:anchor distT="0" distB="0" distL="114300" distR="114300" simplePos="0" relativeHeight="251642880" behindDoc="1" locked="0" layoutInCell="0" allowOverlap="1">
            <wp:simplePos x="0" y="0"/>
            <wp:positionH relativeFrom="page">
              <wp:posOffset>197485</wp:posOffset>
            </wp:positionH>
            <wp:positionV relativeFrom="page">
              <wp:posOffset>113030</wp:posOffset>
            </wp:positionV>
            <wp:extent cx="1853565" cy="9093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853565" cy="909320"/>
                    </a:xfrm>
                    <a:prstGeom prst="rect">
                      <a:avLst/>
                    </a:prstGeom>
                    <a:noFill/>
                  </pic:spPr>
                </pic:pic>
              </a:graphicData>
            </a:graphic>
          </wp:anchor>
        </w:drawing>
      </w:r>
    </w:p>
    <w:p w:rsidR="00120400" w:rsidRDefault="002B5D4D">
      <w:pPr>
        <w:rPr>
          <w:sz w:val="20"/>
          <w:szCs w:val="20"/>
        </w:rPr>
      </w:pPr>
      <w:r>
        <w:rPr>
          <w:rFonts w:ascii="Cambria" w:eastAsia="Cambria" w:hAnsi="Cambria" w:cs="Cambria"/>
          <w:sz w:val="26"/>
          <w:szCs w:val="26"/>
        </w:rPr>
        <w:t xml:space="preserve">Vypršení časového limitu signalizuje časoměřič zvukovým </w:t>
      </w:r>
      <w:r>
        <w:rPr>
          <w:rFonts w:ascii="Cambria" w:eastAsia="Cambria" w:hAnsi="Cambria" w:cs="Cambria"/>
          <w:sz w:val="26"/>
          <w:szCs w:val="26"/>
        </w:rPr>
        <w:t>signálem.</w:t>
      </w:r>
    </w:p>
    <w:p w:rsidR="00120400" w:rsidRDefault="00120400">
      <w:pPr>
        <w:spacing w:line="2" w:lineRule="exact"/>
        <w:rPr>
          <w:sz w:val="20"/>
          <w:szCs w:val="20"/>
        </w:rPr>
      </w:pPr>
    </w:p>
    <w:p w:rsidR="00120400" w:rsidRDefault="002B5D4D">
      <w:pPr>
        <w:spacing w:line="239" w:lineRule="auto"/>
        <w:ind w:firstLine="710"/>
        <w:jc w:val="both"/>
        <w:rPr>
          <w:sz w:val="20"/>
          <w:szCs w:val="20"/>
        </w:rPr>
      </w:pPr>
      <w:r>
        <w:rPr>
          <w:rFonts w:ascii="Cambria" w:eastAsia="Cambria" w:hAnsi="Cambria" w:cs="Cambria"/>
          <w:sz w:val="26"/>
          <w:szCs w:val="26"/>
        </w:rPr>
        <w:t xml:space="preserve">Čas začíná běžet okamžikem, kdy se první člen týmu ujme slova. V případě přerušení ústní prezentace soudcem se čas nezastaví a tým musí vzít v úvahu čas strávený přerušením a přizpůsobit tomuto uplynulému času další průběh své úvodní prezentace </w:t>
      </w:r>
      <w:r>
        <w:rPr>
          <w:rFonts w:ascii="Cambria" w:eastAsia="Cambria" w:hAnsi="Cambria" w:cs="Cambria"/>
          <w:sz w:val="26"/>
          <w:szCs w:val="26"/>
        </w:rPr>
        <w:t>či repliky.</w:t>
      </w:r>
    </w:p>
    <w:p w:rsidR="00120400" w:rsidRDefault="00120400">
      <w:pPr>
        <w:spacing w:line="308" w:lineRule="exact"/>
        <w:rPr>
          <w:sz w:val="20"/>
          <w:szCs w:val="20"/>
        </w:rPr>
      </w:pPr>
    </w:p>
    <w:p w:rsidR="00120400" w:rsidRDefault="002B5D4D">
      <w:pPr>
        <w:rPr>
          <w:sz w:val="20"/>
          <w:szCs w:val="20"/>
        </w:rPr>
      </w:pPr>
      <w:r>
        <w:rPr>
          <w:rFonts w:ascii="Cambria" w:eastAsia="Cambria" w:hAnsi="Cambria" w:cs="Cambria"/>
          <w:b/>
          <w:bCs/>
          <w:sz w:val="28"/>
          <w:szCs w:val="28"/>
        </w:rPr>
        <w:t>Pravidla pro přerušení ústní prezentace</w:t>
      </w:r>
    </w:p>
    <w:p w:rsidR="00120400" w:rsidRDefault="002B5D4D">
      <w:pPr>
        <w:spacing w:line="239" w:lineRule="auto"/>
        <w:jc w:val="both"/>
        <w:rPr>
          <w:sz w:val="20"/>
          <w:szCs w:val="20"/>
        </w:rPr>
      </w:pPr>
      <w:r>
        <w:rPr>
          <w:rFonts w:ascii="Cambria" w:eastAsia="Cambria" w:hAnsi="Cambria" w:cs="Cambria"/>
          <w:sz w:val="26"/>
          <w:szCs w:val="26"/>
        </w:rPr>
        <w:t>Soudci mohou přerušit ústní prezentace týmů. Přerušení soudcem slouží k tomu, aby tým reagoval na soudcovu poznámku, odpověděl na jeho dotaz, nebo vyhověl jeho prosbě (například prosbě o vyhledání určité</w:t>
      </w:r>
      <w:r>
        <w:rPr>
          <w:rFonts w:ascii="Cambria" w:eastAsia="Cambria" w:hAnsi="Cambria" w:cs="Cambria"/>
          <w:sz w:val="26"/>
          <w:szCs w:val="26"/>
        </w:rPr>
        <w:t xml:space="preserve"> pasáže zdroje, na který se tým odkazuje).</w:t>
      </w:r>
    </w:p>
    <w:p w:rsidR="00120400" w:rsidRDefault="00120400">
      <w:pPr>
        <w:spacing w:line="5" w:lineRule="exact"/>
        <w:rPr>
          <w:sz w:val="20"/>
          <w:szCs w:val="20"/>
        </w:rPr>
      </w:pPr>
    </w:p>
    <w:p w:rsidR="00120400" w:rsidRDefault="002B5D4D">
      <w:pPr>
        <w:ind w:left="360"/>
        <w:rPr>
          <w:sz w:val="20"/>
          <w:szCs w:val="20"/>
        </w:rPr>
      </w:pPr>
      <w:r>
        <w:rPr>
          <w:rFonts w:ascii="Cambria" w:eastAsia="Cambria" w:hAnsi="Cambria" w:cs="Cambria"/>
          <w:sz w:val="26"/>
          <w:szCs w:val="26"/>
        </w:rPr>
        <w:t>Možnost takového přerušení je omezená, a to tímto způsobem:</w:t>
      </w:r>
    </w:p>
    <w:p w:rsidR="00120400" w:rsidRDefault="002B5D4D">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226060</wp:posOffset>
            </wp:positionH>
            <wp:positionV relativeFrom="paragraph">
              <wp:posOffset>46990</wp:posOffset>
            </wp:positionV>
            <wp:extent cx="330200" cy="2190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7" w:lineRule="exact"/>
        <w:rPr>
          <w:sz w:val="20"/>
          <w:szCs w:val="20"/>
        </w:rPr>
      </w:pPr>
    </w:p>
    <w:p w:rsidR="00120400" w:rsidRDefault="002B5D4D">
      <w:pPr>
        <w:spacing w:line="239" w:lineRule="auto"/>
        <w:ind w:left="720"/>
        <w:jc w:val="both"/>
        <w:rPr>
          <w:sz w:val="20"/>
          <w:szCs w:val="20"/>
        </w:rPr>
      </w:pPr>
      <w:r>
        <w:rPr>
          <w:rFonts w:ascii="Cambria" w:eastAsia="Cambria" w:hAnsi="Cambria" w:cs="Cambria"/>
          <w:sz w:val="26"/>
          <w:szCs w:val="26"/>
        </w:rPr>
        <w:t>Soudce nesmí přerušit úvodní prezentaci týmu po dobu první minuty a po dobu poslední minuty této úvodní prezentace. Nezáleží přitom na tom, zda za tý</w:t>
      </w:r>
      <w:r>
        <w:rPr>
          <w:rFonts w:ascii="Cambria" w:eastAsia="Cambria" w:hAnsi="Cambria" w:cs="Cambria"/>
          <w:sz w:val="26"/>
          <w:szCs w:val="26"/>
        </w:rPr>
        <w:t>m představuje argumenty více řečníků. Čas se počítá pro celý tým, nikoliv pro jednotlivého řečníka.</w:t>
      </w:r>
    </w:p>
    <w:p w:rsidR="00120400" w:rsidRDefault="002B5D4D">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226060</wp:posOffset>
            </wp:positionH>
            <wp:positionV relativeFrom="paragraph">
              <wp:posOffset>49530</wp:posOffset>
            </wp:positionV>
            <wp:extent cx="330200" cy="2190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9" w:lineRule="exact"/>
        <w:rPr>
          <w:sz w:val="20"/>
          <w:szCs w:val="20"/>
        </w:rPr>
      </w:pPr>
    </w:p>
    <w:p w:rsidR="00120400" w:rsidRDefault="002B5D4D">
      <w:pPr>
        <w:ind w:left="720"/>
        <w:rPr>
          <w:sz w:val="20"/>
          <w:szCs w:val="20"/>
        </w:rPr>
      </w:pPr>
      <w:r>
        <w:rPr>
          <w:rFonts w:ascii="Cambria" w:eastAsia="Cambria" w:hAnsi="Cambria" w:cs="Cambria"/>
          <w:sz w:val="26"/>
          <w:szCs w:val="26"/>
        </w:rPr>
        <w:t>Soudce nesmí přerušit repliku týmu.</w:t>
      </w:r>
    </w:p>
    <w:p w:rsidR="00120400" w:rsidRDefault="00120400">
      <w:pPr>
        <w:spacing w:line="2" w:lineRule="exact"/>
        <w:rPr>
          <w:sz w:val="20"/>
          <w:szCs w:val="20"/>
        </w:rPr>
      </w:pPr>
    </w:p>
    <w:p w:rsidR="00120400" w:rsidRDefault="002B5D4D">
      <w:pPr>
        <w:spacing w:line="239" w:lineRule="auto"/>
        <w:ind w:firstLine="360"/>
        <w:jc w:val="both"/>
        <w:rPr>
          <w:sz w:val="20"/>
          <w:szCs w:val="20"/>
        </w:rPr>
      </w:pPr>
      <w:r>
        <w:rPr>
          <w:rFonts w:ascii="Cambria" w:eastAsia="Cambria" w:hAnsi="Cambria" w:cs="Cambria"/>
          <w:sz w:val="26"/>
          <w:szCs w:val="26"/>
        </w:rPr>
        <w:t>Přeruší-li soudce ústní prezentace, je na prezentujícím týmu, aby reagoval na toto přerušení. Na položenou otázku či</w:t>
      </w:r>
      <w:r>
        <w:rPr>
          <w:rFonts w:ascii="Cambria" w:eastAsia="Cambria" w:hAnsi="Cambria" w:cs="Cambria"/>
          <w:sz w:val="26"/>
          <w:szCs w:val="26"/>
        </w:rPr>
        <w:t xml:space="preserve"> na výzvu o vyjasnění či na prosbu o upřesnění musí však nejprve reagovat člen týmu prezentující v době přerušení. Ovšem tento člen týmu má možnost přesměrovat otázku na jiného člena prezentujícího týmu, který se rešerši a přípravě prezentace takové otázky</w:t>
      </w:r>
      <w:r>
        <w:rPr>
          <w:rFonts w:ascii="Cambria" w:eastAsia="Cambria" w:hAnsi="Cambria" w:cs="Cambria"/>
          <w:sz w:val="26"/>
          <w:szCs w:val="26"/>
        </w:rPr>
        <w:t xml:space="preserve"> více věnoval.</w:t>
      </w:r>
    </w:p>
    <w:p w:rsidR="00120400" w:rsidRDefault="00120400">
      <w:pPr>
        <w:spacing w:line="4" w:lineRule="exact"/>
        <w:rPr>
          <w:sz w:val="20"/>
          <w:szCs w:val="20"/>
        </w:rPr>
      </w:pPr>
    </w:p>
    <w:p w:rsidR="00120400" w:rsidRDefault="002B5D4D">
      <w:pPr>
        <w:spacing w:line="239" w:lineRule="auto"/>
        <w:ind w:firstLine="360"/>
        <w:jc w:val="both"/>
        <w:rPr>
          <w:sz w:val="20"/>
          <w:szCs w:val="20"/>
        </w:rPr>
      </w:pPr>
      <w:r>
        <w:rPr>
          <w:rFonts w:ascii="Cambria" w:eastAsia="Cambria" w:hAnsi="Cambria" w:cs="Cambria"/>
          <w:sz w:val="26"/>
          <w:szCs w:val="26"/>
        </w:rPr>
        <w:t>Soudce by měl týmu sdělit, či jinak naznačit, kdy považuje svůj dotaz za zodpovězený, aby mohl tým pokračovat v úvodní prezentaci či replice. Po přerušení se musí slova ujmout opět ten člen týmu, který byl v prezentaci přerušen.</w:t>
      </w:r>
    </w:p>
    <w:p w:rsidR="00120400" w:rsidRDefault="00120400">
      <w:pPr>
        <w:spacing w:line="342" w:lineRule="exact"/>
        <w:rPr>
          <w:sz w:val="20"/>
          <w:szCs w:val="20"/>
        </w:rPr>
      </w:pPr>
    </w:p>
    <w:p w:rsidR="00120400" w:rsidRDefault="002B5D4D">
      <w:pPr>
        <w:rPr>
          <w:sz w:val="20"/>
          <w:szCs w:val="20"/>
        </w:rPr>
      </w:pPr>
      <w:r>
        <w:rPr>
          <w:rFonts w:ascii="Cambria" w:eastAsia="Cambria" w:hAnsi="Cambria" w:cs="Cambria"/>
          <w:b/>
          <w:bCs/>
          <w:sz w:val="28"/>
          <w:szCs w:val="28"/>
        </w:rPr>
        <w:t>Kritéria hodnocení ústní části soutěže</w:t>
      </w:r>
    </w:p>
    <w:p w:rsidR="00120400" w:rsidRDefault="002B5D4D">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-78105</wp:posOffset>
            </wp:positionH>
            <wp:positionV relativeFrom="paragraph">
              <wp:posOffset>205105</wp:posOffset>
            </wp:positionV>
            <wp:extent cx="5914390" cy="231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5914390" cy="231775"/>
                    </a:xfrm>
                    <a:prstGeom prst="rect">
                      <a:avLst/>
                    </a:prstGeom>
                    <a:noFill/>
                  </pic:spPr>
                </pic:pic>
              </a:graphicData>
            </a:graphic>
          </wp:anchor>
        </w:drawing>
      </w:r>
    </w:p>
    <w:p w:rsidR="00120400" w:rsidRDefault="00120400">
      <w:pPr>
        <w:spacing w:line="330" w:lineRule="exact"/>
        <w:rPr>
          <w:sz w:val="20"/>
          <w:szCs w:val="20"/>
        </w:rPr>
      </w:pPr>
    </w:p>
    <w:p w:rsidR="00120400" w:rsidRDefault="002B5D4D">
      <w:pPr>
        <w:rPr>
          <w:sz w:val="20"/>
          <w:szCs w:val="20"/>
        </w:rPr>
      </w:pPr>
      <w:r>
        <w:rPr>
          <w:rFonts w:ascii="Cambria" w:eastAsia="Cambria" w:hAnsi="Cambria" w:cs="Cambria"/>
          <w:b/>
          <w:bCs/>
          <w:sz w:val="26"/>
          <w:szCs w:val="26"/>
        </w:rPr>
        <w:t>Právní argumentace</w:t>
      </w:r>
    </w:p>
    <w:p w:rsidR="00120400" w:rsidRDefault="002B5D4D">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-78105</wp:posOffset>
            </wp:positionH>
            <wp:positionV relativeFrom="paragraph">
              <wp:posOffset>215265</wp:posOffset>
            </wp:positionV>
            <wp:extent cx="5914390" cy="12007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blip>
                    <a:srcRect/>
                    <a:stretch>
                      <a:fillRect/>
                    </a:stretch>
                  </pic:blipFill>
                  <pic:spPr bwMode="auto">
                    <a:xfrm>
                      <a:off x="0" y="0"/>
                      <a:ext cx="5914390" cy="1200785"/>
                    </a:xfrm>
                    <a:prstGeom prst="rect">
                      <a:avLst/>
                    </a:prstGeom>
                    <a:noFill/>
                  </pic:spPr>
                </pic:pic>
              </a:graphicData>
            </a:graphic>
          </wp:anchor>
        </w:drawing>
      </w:r>
    </w:p>
    <w:p w:rsidR="00120400" w:rsidRDefault="00120400">
      <w:pPr>
        <w:spacing w:line="345" w:lineRule="exact"/>
        <w:rPr>
          <w:sz w:val="20"/>
          <w:szCs w:val="20"/>
        </w:rPr>
      </w:pPr>
    </w:p>
    <w:p w:rsidR="00120400" w:rsidRDefault="002B5D4D">
      <w:pPr>
        <w:ind w:left="700"/>
        <w:rPr>
          <w:sz w:val="20"/>
          <w:szCs w:val="20"/>
        </w:rPr>
      </w:pPr>
      <w:r>
        <w:rPr>
          <w:rFonts w:ascii="Cambria" w:eastAsia="Cambria" w:hAnsi="Cambria" w:cs="Cambria"/>
          <w:sz w:val="26"/>
          <w:szCs w:val="26"/>
        </w:rPr>
        <w:t>Stupnice pro hodnocení (JAK hodnotit):</w:t>
      </w:r>
    </w:p>
    <w:p w:rsidR="00120400" w:rsidRDefault="002B5D4D">
      <w:pPr>
        <w:ind w:left="700"/>
        <w:rPr>
          <w:sz w:val="20"/>
          <w:szCs w:val="20"/>
        </w:rPr>
      </w:pPr>
      <w:r>
        <w:rPr>
          <w:rFonts w:ascii="Cambria" w:eastAsia="Cambria" w:hAnsi="Cambria" w:cs="Cambria"/>
          <w:sz w:val="26"/>
          <w:szCs w:val="26"/>
        </w:rPr>
        <w:t>0-3 nedostačující až velmi podprůměrné</w:t>
      </w:r>
    </w:p>
    <w:p w:rsidR="00120400" w:rsidRDefault="002B5D4D">
      <w:pPr>
        <w:ind w:left="700"/>
        <w:rPr>
          <w:sz w:val="20"/>
          <w:szCs w:val="20"/>
        </w:rPr>
      </w:pPr>
      <w:r>
        <w:rPr>
          <w:rFonts w:ascii="Cambria" w:eastAsia="Cambria" w:hAnsi="Cambria" w:cs="Cambria"/>
          <w:sz w:val="26"/>
          <w:szCs w:val="26"/>
        </w:rPr>
        <w:t>4-7 podprůměrné až dostatečné</w:t>
      </w:r>
    </w:p>
    <w:p w:rsidR="00120400" w:rsidRDefault="00120400">
      <w:pPr>
        <w:spacing w:line="1" w:lineRule="exact"/>
        <w:rPr>
          <w:sz w:val="20"/>
          <w:szCs w:val="20"/>
        </w:rPr>
      </w:pPr>
    </w:p>
    <w:p w:rsidR="00120400" w:rsidRDefault="002B5D4D">
      <w:pPr>
        <w:ind w:left="700"/>
        <w:rPr>
          <w:sz w:val="20"/>
          <w:szCs w:val="20"/>
        </w:rPr>
      </w:pPr>
      <w:r>
        <w:rPr>
          <w:rFonts w:ascii="Cambria" w:eastAsia="Cambria" w:hAnsi="Cambria" w:cs="Cambria"/>
          <w:sz w:val="26"/>
          <w:szCs w:val="26"/>
        </w:rPr>
        <w:t>8-12 vcelku odpovídající až lehce nadprůměrné</w:t>
      </w:r>
    </w:p>
    <w:p w:rsidR="00120400" w:rsidRDefault="002B5D4D">
      <w:pPr>
        <w:ind w:left="700"/>
        <w:rPr>
          <w:sz w:val="20"/>
          <w:szCs w:val="20"/>
        </w:rPr>
      </w:pPr>
      <w:r>
        <w:rPr>
          <w:rFonts w:ascii="Cambria" w:eastAsia="Cambria" w:hAnsi="Cambria" w:cs="Cambria"/>
          <w:sz w:val="26"/>
          <w:szCs w:val="26"/>
        </w:rPr>
        <w:t>13-17 nadprůměrné až velmi dobře prop</w:t>
      </w:r>
      <w:r>
        <w:rPr>
          <w:rFonts w:ascii="Cambria" w:eastAsia="Cambria" w:hAnsi="Cambria" w:cs="Cambria"/>
          <w:sz w:val="26"/>
          <w:szCs w:val="26"/>
        </w:rPr>
        <w:t>racované</w:t>
      </w:r>
    </w:p>
    <w:p w:rsidR="00120400" w:rsidRDefault="002B5D4D">
      <w:pPr>
        <w:ind w:left="700"/>
        <w:rPr>
          <w:sz w:val="20"/>
          <w:szCs w:val="20"/>
        </w:rPr>
      </w:pPr>
      <w:r>
        <w:rPr>
          <w:rFonts w:ascii="Cambria" w:eastAsia="Cambria" w:hAnsi="Cambria" w:cs="Cambria"/>
          <w:sz w:val="26"/>
          <w:szCs w:val="26"/>
        </w:rPr>
        <w:t>18-20 výborně propracované až výjimečně propracované</w:t>
      </w:r>
    </w:p>
    <w:p w:rsidR="00120400" w:rsidRDefault="00120400">
      <w:pPr>
        <w:spacing w:line="335" w:lineRule="exact"/>
        <w:rPr>
          <w:sz w:val="20"/>
          <w:szCs w:val="20"/>
        </w:rPr>
      </w:pPr>
    </w:p>
    <w:p w:rsidR="00120400" w:rsidRDefault="002B5D4D">
      <w:pPr>
        <w:rPr>
          <w:sz w:val="20"/>
          <w:szCs w:val="20"/>
        </w:rPr>
      </w:pPr>
      <w:r>
        <w:rPr>
          <w:rFonts w:ascii="Cambria" w:eastAsia="Cambria" w:hAnsi="Cambria" w:cs="Cambria"/>
          <w:sz w:val="26"/>
          <w:szCs w:val="26"/>
        </w:rPr>
        <w:t>Aspekty zahrnuté do hodnocení právní argumentace (CO hodnotit):</w:t>
      </w:r>
    </w:p>
    <w:p w:rsidR="00120400" w:rsidRDefault="002B5D4D">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226060</wp:posOffset>
            </wp:positionH>
            <wp:positionV relativeFrom="paragraph">
              <wp:posOffset>46990</wp:posOffset>
            </wp:positionV>
            <wp:extent cx="330200" cy="219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7" w:lineRule="exact"/>
        <w:rPr>
          <w:sz w:val="20"/>
          <w:szCs w:val="20"/>
        </w:rPr>
      </w:pPr>
    </w:p>
    <w:p w:rsidR="00120400" w:rsidRDefault="002B5D4D">
      <w:pPr>
        <w:spacing w:line="239" w:lineRule="auto"/>
        <w:ind w:left="720"/>
        <w:jc w:val="both"/>
        <w:rPr>
          <w:sz w:val="20"/>
          <w:szCs w:val="20"/>
        </w:rPr>
      </w:pPr>
      <w:r>
        <w:rPr>
          <w:rFonts w:ascii="Cambria" w:eastAsia="Cambria" w:hAnsi="Cambria" w:cs="Cambria"/>
          <w:sz w:val="26"/>
          <w:szCs w:val="26"/>
        </w:rPr>
        <w:t xml:space="preserve">vysvětlení týmového náhledu na případ tj. proč tým považuje určité právní problémy či skutkové okolnosti případu za </w:t>
      </w:r>
      <w:r>
        <w:rPr>
          <w:rFonts w:ascii="Cambria" w:eastAsia="Cambria" w:hAnsi="Cambria" w:cs="Cambria"/>
          <w:sz w:val="26"/>
          <w:szCs w:val="26"/>
        </w:rPr>
        <w:t>klíčové (přehled klíčových problémů a skutkových okolností) a jaký náhled na tyto</w:t>
      </w:r>
    </w:p>
    <w:p w:rsidR="00120400" w:rsidRDefault="002B5D4D">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4784725</wp:posOffset>
            </wp:positionH>
            <wp:positionV relativeFrom="paragraph">
              <wp:posOffset>-96520</wp:posOffset>
            </wp:positionV>
            <wp:extent cx="1628775" cy="9163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blip>
                    <a:srcRect/>
                    <a:stretch>
                      <a:fillRect/>
                    </a:stretch>
                  </pic:blipFill>
                  <pic:spPr bwMode="auto">
                    <a:xfrm>
                      <a:off x="0" y="0"/>
                      <a:ext cx="1628775" cy="916305"/>
                    </a:xfrm>
                    <a:prstGeom prst="rect">
                      <a:avLst/>
                    </a:prstGeom>
                    <a:noFill/>
                  </pic:spPr>
                </pic:pic>
              </a:graphicData>
            </a:graphic>
          </wp:anchor>
        </w:drawing>
      </w:r>
    </w:p>
    <w:p w:rsidR="00120400" w:rsidRDefault="00120400">
      <w:pPr>
        <w:sectPr w:rsidR="00120400">
          <w:pgSz w:w="11900" w:h="16840"/>
          <w:pgMar w:top="1440" w:right="1425" w:bottom="957" w:left="1420" w:header="0" w:footer="0" w:gutter="0"/>
          <w:cols w:space="708" w:equalWidth="0">
            <w:col w:w="9060"/>
          </w:cols>
        </w:sectPr>
      </w:pPr>
    </w:p>
    <w:p w:rsidR="00120400" w:rsidRDefault="002B5D4D">
      <w:pPr>
        <w:spacing w:line="302" w:lineRule="exact"/>
        <w:rPr>
          <w:sz w:val="20"/>
          <w:szCs w:val="20"/>
        </w:rPr>
      </w:pPr>
      <w:bookmarkStart w:id="3" w:name="page4"/>
      <w:bookmarkEnd w:id="3"/>
      <w:r>
        <w:rPr>
          <w:noProof/>
          <w:sz w:val="20"/>
          <w:szCs w:val="20"/>
        </w:rPr>
        <w:lastRenderedPageBreak/>
        <w:drawing>
          <wp:anchor distT="0" distB="0" distL="114300" distR="114300" simplePos="0" relativeHeight="251650048" behindDoc="1" locked="0" layoutInCell="0" allowOverlap="1">
            <wp:simplePos x="0" y="0"/>
            <wp:positionH relativeFrom="page">
              <wp:posOffset>197485</wp:posOffset>
            </wp:positionH>
            <wp:positionV relativeFrom="page">
              <wp:posOffset>113030</wp:posOffset>
            </wp:positionV>
            <wp:extent cx="1853565" cy="9093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853565" cy="909320"/>
                    </a:xfrm>
                    <a:prstGeom prst="rect">
                      <a:avLst/>
                    </a:prstGeom>
                    <a:noFill/>
                  </pic:spPr>
                </pic:pic>
              </a:graphicData>
            </a:graphic>
          </wp:anchor>
        </w:drawing>
      </w:r>
    </w:p>
    <w:p w:rsidR="00120400" w:rsidRDefault="002B5D4D">
      <w:pPr>
        <w:ind w:left="700"/>
        <w:rPr>
          <w:sz w:val="20"/>
          <w:szCs w:val="20"/>
        </w:rPr>
      </w:pPr>
      <w:r>
        <w:rPr>
          <w:rFonts w:ascii="Cambria" w:eastAsia="Cambria" w:hAnsi="Cambria" w:cs="Cambria"/>
          <w:sz w:val="26"/>
          <w:szCs w:val="26"/>
        </w:rPr>
        <w:t>problémy a okolnosti případu tým zaujímá a proč (odůvodnění)</w:t>
      </w:r>
    </w:p>
    <w:p w:rsidR="00120400" w:rsidRDefault="002B5D4D">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213360</wp:posOffset>
            </wp:positionH>
            <wp:positionV relativeFrom="paragraph">
              <wp:posOffset>46990</wp:posOffset>
            </wp:positionV>
            <wp:extent cx="330200" cy="2190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7" w:lineRule="exact"/>
        <w:rPr>
          <w:sz w:val="20"/>
          <w:szCs w:val="20"/>
        </w:rPr>
      </w:pPr>
    </w:p>
    <w:p w:rsidR="00120400" w:rsidRDefault="002B5D4D">
      <w:pPr>
        <w:spacing w:line="238" w:lineRule="auto"/>
        <w:ind w:left="700"/>
        <w:jc w:val="both"/>
        <w:rPr>
          <w:sz w:val="20"/>
          <w:szCs w:val="20"/>
        </w:rPr>
      </w:pPr>
      <w:r>
        <w:rPr>
          <w:rFonts w:ascii="Cambria" w:eastAsia="Cambria" w:hAnsi="Cambria" w:cs="Cambria"/>
          <w:sz w:val="26"/>
          <w:szCs w:val="26"/>
        </w:rPr>
        <w:t xml:space="preserve">přehledná struktura argumentace včetně takového postupu týmu v </w:t>
      </w:r>
      <w:r>
        <w:rPr>
          <w:rFonts w:ascii="Cambria" w:eastAsia="Cambria" w:hAnsi="Cambria" w:cs="Cambria"/>
          <w:sz w:val="26"/>
          <w:szCs w:val="26"/>
        </w:rPr>
        <w:t>prezentaci, která napomáhá soudcům k pochopení týmového náhledu na případ, a to včetně upozornění soudců, že se „mění téma“, respektive že se tým vyjádřil k určitému problému a nyní přistupuje k novému problému</w:t>
      </w:r>
    </w:p>
    <w:p w:rsidR="00120400" w:rsidRDefault="002B5D4D">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213360</wp:posOffset>
            </wp:positionH>
            <wp:positionV relativeFrom="paragraph">
              <wp:posOffset>49530</wp:posOffset>
            </wp:positionV>
            <wp:extent cx="330200" cy="2190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71" w:lineRule="exact"/>
        <w:rPr>
          <w:sz w:val="20"/>
          <w:szCs w:val="20"/>
        </w:rPr>
      </w:pPr>
    </w:p>
    <w:p w:rsidR="00120400" w:rsidRDefault="002B5D4D" w:rsidP="002B5D4D">
      <w:pPr>
        <w:spacing w:line="239" w:lineRule="auto"/>
        <w:ind w:left="700"/>
        <w:jc w:val="both"/>
        <w:rPr>
          <w:sz w:val="20"/>
          <w:szCs w:val="20"/>
        </w:rPr>
      </w:pPr>
      <w:r>
        <w:rPr>
          <w:rFonts w:ascii="Cambria" w:eastAsia="Cambria" w:hAnsi="Cambria" w:cs="Cambria"/>
          <w:sz w:val="26"/>
          <w:szCs w:val="26"/>
        </w:rPr>
        <w:t>vyrovnání se se známými či předvídatelnými</w:t>
      </w:r>
      <w:r>
        <w:rPr>
          <w:rFonts w:ascii="Cambria" w:eastAsia="Cambria" w:hAnsi="Cambria" w:cs="Cambria"/>
          <w:sz w:val="26"/>
          <w:szCs w:val="26"/>
        </w:rPr>
        <w:t xml:space="preserve"> argumenty protistrany pozitivní formou. tj. uznání existence těchto argumentů a jejich závažnosti pro týmový náhled na případ obhajovaný prezentujícím týmem a zároveň pokus o vyvracení nebo o potlačení vlivu těchto protiargumentů na týmový náhled na přípa</w:t>
      </w:r>
      <w:r>
        <w:rPr>
          <w:rFonts w:ascii="Cambria" w:eastAsia="Cambria" w:hAnsi="Cambria" w:cs="Cambria"/>
          <w:sz w:val="26"/>
          <w:szCs w:val="26"/>
        </w:rPr>
        <w:t>d</w:t>
      </w:r>
    </w:p>
    <w:p w:rsidR="00120400" w:rsidRDefault="002B5D4D">
      <w:pPr>
        <w:spacing w:line="239" w:lineRule="auto"/>
        <w:ind w:left="700"/>
        <w:jc w:val="both"/>
        <w:rPr>
          <w:sz w:val="20"/>
          <w:szCs w:val="20"/>
        </w:rPr>
      </w:pPr>
      <w:r>
        <w:rPr>
          <w:rFonts w:ascii="Cambria" w:eastAsia="Cambria" w:hAnsi="Cambria" w:cs="Cambria"/>
          <w:i/>
          <w:iCs/>
        </w:rPr>
        <w:t>vysvětlení: Tým si musí být vědom protiargumentů a musí být schopen se vypořádat nikoliv se všemi, ale s těmi, které podrývají pozici zaujímanou týmem ve vztahu ke klíčovým problémům.</w:t>
      </w:r>
    </w:p>
    <w:p w:rsidR="00120400" w:rsidRDefault="002B5D4D">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213360</wp:posOffset>
            </wp:positionH>
            <wp:positionV relativeFrom="paragraph">
              <wp:posOffset>46990</wp:posOffset>
            </wp:positionV>
            <wp:extent cx="330200" cy="2190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7" w:lineRule="exact"/>
        <w:rPr>
          <w:sz w:val="20"/>
          <w:szCs w:val="20"/>
        </w:rPr>
      </w:pPr>
    </w:p>
    <w:p w:rsidR="00120400" w:rsidRDefault="002B5D4D" w:rsidP="002B5D4D">
      <w:pPr>
        <w:spacing w:line="239" w:lineRule="auto"/>
        <w:ind w:left="700"/>
        <w:jc w:val="both"/>
        <w:rPr>
          <w:sz w:val="20"/>
          <w:szCs w:val="20"/>
        </w:rPr>
      </w:pPr>
      <w:r>
        <w:rPr>
          <w:rFonts w:ascii="Cambria" w:eastAsia="Cambria" w:hAnsi="Cambria" w:cs="Cambria"/>
          <w:sz w:val="26"/>
          <w:szCs w:val="26"/>
        </w:rPr>
        <w:t>taková obeznámenost s právní úpravou, která dovoluje týmu vysvětli</w:t>
      </w:r>
      <w:r>
        <w:rPr>
          <w:rFonts w:ascii="Cambria" w:eastAsia="Cambria" w:hAnsi="Cambria" w:cs="Cambria"/>
          <w:sz w:val="26"/>
          <w:szCs w:val="26"/>
        </w:rPr>
        <w:t>t právní úpravu a efektivně ji aplikovat na skutkové okolnosti případu</w:t>
      </w:r>
    </w:p>
    <w:p w:rsidR="00120400" w:rsidRDefault="002B5D4D">
      <w:pPr>
        <w:spacing w:line="239" w:lineRule="auto"/>
        <w:ind w:left="700"/>
        <w:jc w:val="both"/>
        <w:rPr>
          <w:sz w:val="20"/>
          <w:szCs w:val="20"/>
        </w:rPr>
      </w:pPr>
      <w:r>
        <w:rPr>
          <w:rFonts w:ascii="Cambria" w:eastAsia="Cambria" w:hAnsi="Cambria" w:cs="Cambria"/>
          <w:i/>
          <w:iCs/>
        </w:rPr>
        <w:t>vysvětlení: Nečekejme a nechtějme od studentů neutrální výklad právní úpravy, ale její aplikaci na konkrétní okolnosti případu včetně uvedení těchto okolností a „dosazení“ těchto okoln</w:t>
      </w:r>
      <w:r>
        <w:rPr>
          <w:rFonts w:ascii="Cambria" w:eastAsia="Cambria" w:hAnsi="Cambria" w:cs="Cambria"/>
          <w:i/>
          <w:iCs/>
        </w:rPr>
        <w:t>ostí do řešení, ke kterému právní úprava směřuje.</w:t>
      </w:r>
    </w:p>
    <w:p w:rsidR="00120400" w:rsidRDefault="002B5D4D">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213360</wp:posOffset>
            </wp:positionH>
            <wp:positionV relativeFrom="paragraph">
              <wp:posOffset>46990</wp:posOffset>
            </wp:positionV>
            <wp:extent cx="330200" cy="2190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7" w:lineRule="exact"/>
        <w:rPr>
          <w:sz w:val="20"/>
          <w:szCs w:val="20"/>
        </w:rPr>
      </w:pPr>
    </w:p>
    <w:p w:rsidR="00120400" w:rsidRDefault="002B5D4D">
      <w:pPr>
        <w:spacing w:line="239" w:lineRule="auto"/>
        <w:ind w:left="700"/>
        <w:jc w:val="both"/>
        <w:rPr>
          <w:sz w:val="20"/>
          <w:szCs w:val="20"/>
        </w:rPr>
      </w:pPr>
      <w:r>
        <w:rPr>
          <w:rFonts w:ascii="Cambria" w:eastAsia="Cambria" w:hAnsi="Cambria" w:cs="Cambria"/>
          <w:sz w:val="26"/>
          <w:szCs w:val="26"/>
        </w:rPr>
        <w:t>propracovanost každého z argumentů jednotlivě a zároveň jejich vzájemné propojení s uceleným týmovým náhledem na případ</w:t>
      </w:r>
    </w:p>
    <w:p w:rsidR="00120400" w:rsidRDefault="002B5D4D">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213360</wp:posOffset>
            </wp:positionH>
            <wp:positionV relativeFrom="paragraph">
              <wp:posOffset>47625</wp:posOffset>
            </wp:positionV>
            <wp:extent cx="330200" cy="2190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8" w:lineRule="exact"/>
        <w:rPr>
          <w:sz w:val="20"/>
          <w:szCs w:val="20"/>
        </w:rPr>
      </w:pPr>
    </w:p>
    <w:p w:rsidR="00120400" w:rsidRDefault="002B5D4D">
      <w:pPr>
        <w:spacing w:line="239" w:lineRule="auto"/>
        <w:ind w:left="700"/>
        <w:jc w:val="both"/>
        <w:rPr>
          <w:sz w:val="20"/>
          <w:szCs w:val="20"/>
        </w:rPr>
      </w:pPr>
      <w:r>
        <w:rPr>
          <w:rFonts w:ascii="Cambria" w:eastAsia="Cambria" w:hAnsi="Cambria" w:cs="Cambria"/>
          <w:sz w:val="26"/>
          <w:szCs w:val="26"/>
        </w:rPr>
        <w:t xml:space="preserve">originálnost a kreativita ve smyslu vybočení od „prosté aplikace“ právní </w:t>
      </w:r>
      <w:r>
        <w:rPr>
          <w:rFonts w:ascii="Cambria" w:eastAsia="Cambria" w:hAnsi="Cambria" w:cs="Cambria"/>
          <w:sz w:val="26"/>
          <w:szCs w:val="26"/>
        </w:rPr>
        <w:t>úpravy na skutkové okolnosti případu k více osobitému uchopení případu</w:t>
      </w:r>
    </w:p>
    <w:p w:rsidR="00120400" w:rsidRDefault="002B5D4D">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213360</wp:posOffset>
            </wp:positionH>
            <wp:positionV relativeFrom="paragraph">
              <wp:posOffset>47625</wp:posOffset>
            </wp:positionV>
            <wp:extent cx="330200" cy="2190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8" w:lineRule="exact"/>
        <w:rPr>
          <w:sz w:val="20"/>
          <w:szCs w:val="20"/>
        </w:rPr>
      </w:pPr>
    </w:p>
    <w:p w:rsidR="00120400" w:rsidRDefault="002B5D4D" w:rsidP="002B5D4D">
      <w:pPr>
        <w:spacing w:line="239" w:lineRule="auto"/>
        <w:ind w:left="700"/>
        <w:jc w:val="both"/>
        <w:rPr>
          <w:sz w:val="20"/>
          <w:szCs w:val="20"/>
        </w:rPr>
      </w:pPr>
      <w:r>
        <w:rPr>
          <w:rFonts w:ascii="Cambria" w:eastAsia="Cambria" w:hAnsi="Cambria" w:cs="Cambria"/>
          <w:sz w:val="26"/>
          <w:szCs w:val="26"/>
        </w:rPr>
        <w:t>jasně artikulované závěry objasňující postoje týmu ke sporným či neobjasněným skutečnostem či problémům</w:t>
      </w:r>
    </w:p>
    <w:p w:rsidR="00120400" w:rsidRDefault="002B5D4D">
      <w:pPr>
        <w:spacing w:line="238" w:lineRule="auto"/>
        <w:ind w:left="700"/>
        <w:jc w:val="both"/>
        <w:rPr>
          <w:sz w:val="20"/>
          <w:szCs w:val="20"/>
        </w:rPr>
      </w:pPr>
      <w:r>
        <w:rPr>
          <w:rFonts w:ascii="Cambria" w:eastAsia="Cambria" w:hAnsi="Cambria" w:cs="Cambria"/>
          <w:i/>
          <w:iCs/>
        </w:rPr>
        <w:t>vysvětlení: Úkolem týmu není znovu otevřít dokazování, ale vybudovat či přisp</w:t>
      </w:r>
      <w:r>
        <w:rPr>
          <w:rFonts w:ascii="Cambria" w:eastAsia="Cambria" w:hAnsi="Cambria" w:cs="Cambria"/>
          <w:i/>
          <w:iCs/>
        </w:rPr>
        <w:t>ět k vybudování uceleného náhledu na případ, který umožní soudci hledat spravedlivé řešení.</w:t>
      </w:r>
    </w:p>
    <w:p w:rsidR="00120400" w:rsidRDefault="002B5D4D">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213360</wp:posOffset>
            </wp:positionH>
            <wp:positionV relativeFrom="paragraph">
              <wp:posOffset>45720</wp:posOffset>
            </wp:positionV>
            <wp:extent cx="330200" cy="2190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5" w:lineRule="exact"/>
        <w:rPr>
          <w:sz w:val="20"/>
          <w:szCs w:val="20"/>
        </w:rPr>
      </w:pPr>
    </w:p>
    <w:p w:rsidR="00120400" w:rsidRDefault="002B5D4D">
      <w:pPr>
        <w:spacing w:line="239" w:lineRule="auto"/>
        <w:ind w:left="700"/>
        <w:jc w:val="both"/>
        <w:rPr>
          <w:sz w:val="20"/>
          <w:szCs w:val="20"/>
        </w:rPr>
      </w:pPr>
      <w:r>
        <w:rPr>
          <w:rFonts w:ascii="Cambria" w:eastAsia="Cambria" w:hAnsi="Cambria" w:cs="Cambria"/>
          <w:sz w:val="26"/>
          <w:szCs w:val="26"/>
        </w:rPr>
        <w:t>jednoznačně formulovaný petit, respektive jasné vyjádření týmu k tomu, čeho se jménem zastoupené strany domáhá</w:t>
      </w:r>
    </w:p>
    <w:p w:rsidR="00120400" w:rsidRDefault="002B5D4D">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4772025</wp:posOffset>
            </wp:positionH>
            <wp:positionV relativeFrom="paragraph">
              <wp:posOffset>2446020</wp:posOffset>
            </wp:positionV>
            <wp:extent cx="1628775" cy="9163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blip>
                    <a:srcRect/>
                    <a:stretch>
                      <a:fillRect/>
                    </a:stretch>
                  </pic:blipFill>
                  <pic:spPr bwMode="auto">
                    <a:xfrm>
                      <a:off x="0" y="0"/>
                      <a:ext cx="1628775" cy="916305"/>
                    </a:xfrm>
                    <a:prstGeom prst="rect">
                      <a:avLst/>
                    </a:prstGeom>
                    <a:noFill/>
                  </pic:spPr>
                </pic:pic>
              </a:graphicData>
            </a:graphic>
          </wp:anchor>
        </w:drawing>
      </w:r>
    </w:p>
    <w:p w:rsidR="00120400" w:rsidRDefault="00120400">
      <w:pPr>
        <w:sectPr w:rsidR="00120400">
          <w:pgSz w:w="11900" w:h="16840"/>
          <w:pgMar w:top="1440" w:right="1425" w:bottom="1440" w:left="1440" w:header="0" w:footer="0" w:gutter="0"/>
          <w:cols w:space="708" w:equalWidth="0">
            <w:col w:w="9040"/>
          </w:cols>
        </w:sectPr>
      </w:pPr>
    </w:p>
    <w:p w:rsidR="00120400" w:rsidRDefault="002B5D4D">
      <w:pPr>
        <w:spacing w:line="200" w:lineRule="exact"/>
        <w:rPr>
          <w:sz w:val="20"/>
          <w:szCs w:val="20"/>
        </w:rPr>
      </w:pPr>
      <w:bookmarkStart w:id="4" w:name="page5"/>
      <w:bookmarkEnd w:id="4"/>
      <w:r>
        <w:rPr>
          <w:noProof/>
          <w:sz w:val="20"/>
          <w:szCs w:val="20"/>
        </w:rPr>
        <w:lastRenderedPageBreak/>
        <w:drawing>
          <wp:anchor distT="0" distB="0" distL="114300" distR="114300" simplePos="0" relativeHeight="251659264" behindDoc="1" locked="0" layoutInCell="0" allowOverlap="1">
            <wp:simplePos x="0" y="0"/>
            <wp:positionH relativeFrom="page">
              <wp:posOffset>197485</wp:posOffset>
            </wp:positionH>
            <wp:positionV relativeFrom="page">
              <wp:posOffset>113030</wp:posOffset>
            </wp:positionV>
            <wp:extent cx="1853565" cy="9093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853565" cy="90932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page">
              <wp:posOffset>822960</wp:posOffset>
            </wp:positionH>
            <wp:positionV relativeFrom="page">
              <wp:posOffset>1302385</wp:posOffset>
            </wp:positionV>
            <wp:extent cx="5914390" cy="2317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5914390" cy="231775"/>
                    </a:xfrm>
                    <a:prstGeom prst="rect">
                      <a:avLst/>
                    </a:prstGeom>
                    <a:noFill/>
                  </pic:spPr>
                </pic:pic>
              </a:graphicData>
            </a:graphic>
          </wp:anchor>
        </w:drawing>
      </w:r>
    </w:p>
    <w:p w:rsidR="00120400" w:rsidRDefault="00120400">
      <w:pPr>
        <w:spacing w:line="200" w:lineRule="exact"/>
        <w:rPr>
          <w:sz w:val="20"/>
          <w:szCs w:val="20"/>
        </w:rPr>
      </w:pPr>
    </w:p>
    <w:p w:rsidR="00120400" w:rsidRDefault="00120400">
      <w:pPr>
        <w:spacing w:line="237" w:lineRule="exact"/>
        <w:rPr>
          <w:sz w:val="20"/>
          <w:szCs w:val="20"/>
        </w:rPr>
      </w:pPr>
    </w:p>
    <w:p w:rsidR="00120400" w:rsidRDefault="002B5D4D">
      <w:pPr>
        <w:rPr>
          <w:sz w:val="20"/>
          <w:szCs w:val="20"/>
        </w:rPr>
      </w:pPr>
      <w:r>
        <w:rPr>
          <w:rFonts w:ascii="Cambria" w:eastAsia="Cambria" w:hAnsi="Cambria" w:cs="Cambria"/>
          <w:b/>
          <w:bCs/>
          <w:sz w:val="26"/>
          <w:szCs w:val="26"/>
        </w:rPr>
        <w:t>Prezentační dovednost</w:t>
      </w:r>
      <w:r>
        <w:rPr>
          <w:rFonts w:ascii="Cambria" w:eastAsia="Cambria" w:hAnsi="Cambria" w:cs="Cambria"/>
          <w:b/>
          <w:bCs/>
          <w:sz w:val="26"/>
          <w:szCs w:val="26"/>
        </w:rPr>
        <w:t>i a týmová spolupráce</w:t>
      </w:r>
    </w:p>
    <w:p w:rsidR="00120400" w:rsidRDefault="002B5D4D">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-78105</wp:posOffset>
            </wp:positionH>
            <wp:positionV relativeFrom="paragraph">
              <wp:posOffset>215265</wp:posOffset>
            </wp:positionV>
            <wp:extent cx="5914390" cy="11976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blip>
                    <a:srcRect/>
                    <a:stretch>
                      <a:fillRect/>
                    </a:stretch>
                  </pic:blipFill>
                  <pic:spPr bwMode="auto">
                    <a:xfrm>
                      <a:off x="0" y="0"/>
                      <a:ext cx="5914390" cy="1197610"/>
                    </a:xfrm>
                    <a:prstGeom prst="rect">
                      <a:avLst/>
                    </a:prstGeom>
                    <a:noFill/>
                  </pic:spPr>
                </pic:pic>
              </a:graphicData>
            </a:graphic>
          </wp:anchor>
        </w:drawing>
      </w:r>
    </w:p>
    <w:p w:rsidR="00120400" w:rsidRDefault="00120400">
      <w:pPr>
        <w:spacing w:line="346" w:lineRule="exact"/>
        <w:rPr>
          <w:sz w:val="20"/>
          <w:szCs w:val="20"/>
        </w:rPr>
      </w:pPr>
    </w:p>
    <w:p w:rsidR="00120400" w:rsidRDefault="002B5D4D">
      <w:pPr>
        <w:ind w:left="700"/>
        <w:rPr>
          <w:sz w:val="20"/>
          <w:szCs w:val="20"/>
        </w:rPr>
      </w:pPr>
      <w:r>
        <w:rPr>
          <w:rFonts w:ascii="Cambria" w:eastAsia="Cambria" w:hAnsi="Cambria" w:cs="Cambria"/>
          <w:sz w:val="26"/>
          <w:szCs w:val="26"/>
        </w:rPr>
        <w:t>Stupnice pro hodnocení (JAK hodnotit):</w:t>
      </w:r>
    </w:p>
    <w:p w:rsidR="00120400" w:rsidRDefault="002B5D4D">
      <w:pPr>
        <w:spacing w:line="237" w:lineRule="auto"/>
        <w:ind w:left="700"/>
        <w:rPr>
          <w:sz w:val="20"/>
          <w:szCs w:val="20"/>
        </w:rPr>
      </w:pPr>
      <w:r>
        <w:rPr>
          <w:rFonts w:ascii="Cambria" w:eastAsia="Cambria" w:hAnsi="Cambria" w:cs="Cambria"/>
          <w:sz w:val="26"/>
          <w:szCs w:val="26"/>
        </w:rPr>
        <w:t>0-3 nedostačující až velmi podprůměrné</w:t>
      </w:r>
    </w:p>
    <w:p w:rsidR="00120400" w:rsidRDefault="002B5D4D">
      <w:pPr>
        <w:ind w:left="700"/>
        <w:rPr>
          <w:sz w:val="20"/>
          <w:szCs w:val="20"/>
        </w:rPr>
      </w:pPr>
      <w:r>
        <w:rPr>
          <w:rFonts w:ascii="Cambria" w:eastAsia="Cambria" w:hAnsi="Cambria" w:cs="Cambria"/>
          <w:sz w:val="26"/>
          <w:szCs w:val="26"/>
        </w:rPr>
        <w:t>4-7 podprůměrné až dostatečné</w:t>
      </w:r>
    </w:p>
    <w:p w:rsidR="00120400" w:rsidRDefault="002B5D4D">
      <w:pPr>
        <w:ind w:left="700"/>
        <w:rPr>
          <w:sz w:val="20"/>
          <w:szCs w:val="20"/>
        </w:rPr>
      </w:pPr>
      <w:r>
        <w:rPr>
          <w:rFonts w:ascii="Cambria" w:eastAsia="Cambria" w:hAnsi="Cambria" w:cs="Cambria"/>
          <w:sz w:val="26"/>
          <w:szCs w:val="26"/>
        </w:rPr>
        <w:t>8-12 vcelku odpovídající až lehce nadprůměrné</w:t>
      </w:r>
    </w:p>
    <w:p w:rsidR="00120400" w:rsidRDefault="002B5D4D">
      <w:pPr>
        <w:ind w:left="700"/>
        <w:rPr>
          <w:sz w:val="20"/>
          <w:szCs w:val="20"/>
        </w:rPr>
      </w:pPr>
      <w:r>
        <w:rPr>
          <w:rFonts w:ascii="Cambria" w:eastAsia="Cambria" w:hAnsi="Cambria" w:cs="Cambria"/>
          <w:sz w:val="26"/>
          <w:szCs w:val="26"/>
        </w:rPr>
        <w:t>13-17 nadprůměrné až velmi dobře propracované</w:t>
      </w:r>
    </w:p>
    <w:p w:rsidR="00120400" w:rsidRDefault="002B5D4D">
      <w:pPr>
        <w:ind w:left="700"/>
        <w:rPr>
          <w:sz w:val="20"/>
          <w:szCs w:val="20"/>
        </w:rPr>
      </w:pPr>
      <w:r>
        <w:rPr>
          <w:rFonts w:ascii="Cambria" w:eastAsia="Cambria" w:hAnsi="Cambria" w:cs="Cambria"/>
          <w:sz w:val="26"/>
          <w:szCs w:val="26"/>
        </w:rPr>
        <w:t xml:space="preserve">18-20 výborně </w:t>
      </w:r>
      <w:r>
        <w:rPr>
          <w:rFonts w:ascii="Cambria" w:eastAsia="Cambria" w:hAnsi="Cambria" w:cs="Cambria"/>
          <w:sz w:val="26"/>
          <w:szCs w:val="26"/>
        </w:rPr>
        <w:t>propracované až výjimečně propracované</w:t>
      </w:r>
    </w:p>
    <w:p w:rsidR="00120400" w:rsidRDefault="00120400">
      <w:pPr>
        <w:spacing w:line="337" w:lineRule="exact"/>
        <w:rPr>
          <w:sz w:val="20"/>
          <w:szCs w:val="20"/>
        </w:rPr>
      </w:pPr>
    </w:p>
    <w:p w:rsidR="00120400" w:rsidRDefault="002B5D4D">
      <w:pPr>
        <w:spacing w:line="239" w:lineRule="auto"/>
        <w:ind w:right="20"/>
        <w:rPr>
          <w:sz w:val="20"/>
          <w:szCs w:val="20"/>
        </w:rPr>
      </w:pPr>
      <w:r>
        <w:rPr>
          <w:rFonts w:ascii="Cambria" w:eastAsia="Cambria" w:hAnsi="Cambria" w:cs="Cambria"/>
          <w:sz w:val="26"/>
          <w:szCs w:val="26"/>
        </w:rPr>
        <w:t>Aspekty zahrnuté do hodnocení prezentačních dovedností a týmové spolupráce (CO hodnotit):</w:t>
      </w:r>
    </w:p>
    <w:p w:rsidR="00120400" w:rsidRDefault="002B5D4D">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226060</wp:posOffset>
            </wp:positionH>
            <wp:positionV relativeFrom="paragraph">
              <wp:posOffset>47625</wp:posOffset>
            </wp:positionV>
            <wp:extent cx="330200" cy="2190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8" w:lineRule="exact"/>
        <w:rPr>
          <w:sz w:val="20"/>
          <w:szCs w:val="20"/>
        </w:rPr>
      </w:pPr>
    </w:p>
    <w:p w:rsidR="00120400" w:rsidRDefault="002B5D4D" w:rsidP="002B5D4D">
      <w:pPr>
        <w:spacing w:line="239" w:lineRule="auto"/>
        <w:ind w:left="720" w:right="20"/>
        <w:jc w:val="both"/>
        <w:rPr>
          <w:sz w:val="20"/>
          <w:szCs w:val="20"/>
        </w:rPr>
      </w:pPr>
      <w:r>
        <w:rPr>
          <w:rFonts w:ascii="Cambria" w:eastAsia="Cambria" w:hAnsi="Cambria" w:cs="Cambria"/>
          <w:sz w:val="26"/>
          <w:szCs w:val="26"/>
        </w:rPr>
        <w:t>prezentace jednotlivých argumentů s dostatečnou signalizací vedoucí soudce i ostatní posluchače (například přítomnou veřejn</w:t>
      </w:r>
      <w:r>
        <w:rPr>
          <w:rFonts w:ascii="Cambria" w:eastAsia="Cambria" w:hAnsi="Cambria" w:cs="Cambria"/>
          <w:sz w:val="26"/>
          <w:szCs w:val="26"/>
        </w:rPr>
        <w:t>ost) v jasně strukturované argumentaci (například využívání slovních „osnov obsahu projevu“)</w:t>
      </w:r>
    </w:p>
    <w:p w:rsidR="00120400" w:rsidRDefault="002B5D4D">
      <w:pPr>
        <w:ind w:left="720"/>
        <w:rPr>
          <w:sz w:val="20"/>
          <w:szCs w:val="20"/>
        </w:rPr>
      </w:pPr>
      <w:r>
        <w:rPr>
          <w:rFonts w:ascii="Cambria" w:eastAsia="Cambria" w:hAnsi="Cambria" w:cs="Cambria"/>
          <w:i/>
          <w:iCs/>
        </w:rPr>
        <w:t>vysvětlení: Řečník posluchači oznámí, jakou strukturu bude jeho projev mít, a potom se této</w:t>
      </w:r>
    </w:p>
    <w:p w:rsidR="00120400" w:rsidRDefault="00120400">
      <w:pPr>
        <w:spacing w:line="3" w:lineRule="exact"/>
        <w:rPr>
          <w:sz w:val="20"/>
          <w:szCs w:val="20"/>
        </w:rPr>
      </w:pPr>
    </w:p>
    <w:p w:rsidR="00120400" w:rsidRDefault="002B5D4D">
      <w:pPr>
        <w:spacing w:line="238" w:lineRule="auto"/>
        <w:ind w:left="720"/>
        <w:jc w:val="both"/>
        <w:rPr>
          <w:sz w:val="20"/>
          <w:szCs w:val="20"/>
        </w:rPr>
      </w:pPr>
      <w:r>
        <w:rPr>
          <w:rFonts w:ascii="Cambria" w:eastAsia="Cambria" w:hAnsi="Cambria" w:cs="Cambria"/>
          <w:i/>
          <w:iCs/>
        </w:rPr>
        <w:t xml:space="preserve">struktury přidržuje (například: „Nejdříve objasním… dále se zmíním … </w:t>
      </w:r>
      <w:r>
        <w:rPr>
          <w:rFonts w:ascii="Cambria" w:eastAsia="Cambria" w:hAnsi="Cambria" w:cs="Cambria"/>
          <w:i/>
          <w:iCs/>
        </w:rPr>
        <w:t>a nakonec popřu/ potvrdím …)</w:t>
      </w:r>
    </w:p>
    <w:p w:rsidR="00120400" w:rsidRDefault="002B5D4D">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226060</wp:posOffset>
            </wp:positionH>
            <wp:positionV relativeFrom="paragraph">
              <wp:posOffset>46355</wp:posOffset>
            </wp:positionV>
            <wp:extent cx="330200" cy="2190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6" w:lineRule="exact"/>
        <w:rPr>
          <w:sz w:val="20"/>
          <w:szCs w:val="20"/>
        </w:rPr>
      </w:pPr>
    </w:p>
    <w:p w:rsidR="00120400" w:rsidRDefault="002B5D4D" w:rsidP="002B5D4D">
      <w:pPr>
        <w:spacing w:line="239" w:lineRule="auto"/>
        <w:ind w:left="720" w:right="20"/>
        <w:jc w:val="both"/>
        <w:rPr>
          <w:sz w:val="20"/>
          <w:szCs w:val="20"/>
        </w:rPr>
      </w:pPr>
      <w:r>
        <w:rPr>
          <w:rFonts w:ascii="Cambria" w:eastAsia="Cambria" w:hAnsi="Cambria" w:cs="Cambria"/>
          <w:sz w:val="26"/>
          <w:szCs w:val="26"/>
        </w:rPr>
        <w:t>využití schopnosti naslouchání a komunikace například v případě přerušení prezentace soudcem</w:t>
      </w:r>
    </w:p>
    <w:p w:rsidR="00120400" w:rsidRDefault="002B5D4D">
      <w:pPr>
        <w:ind w:left="720" w:right="20"/>
        <w:jc w:val="both"/>
        <w:rPr>
          <w:sz w:val="20"/>
          <w:szCs w:val="20"/>
        </w:rPr>
      </w:pPr>
      <w:r>
        <w:rPr>
          <w:rFonts w:ascii="Cambria" w:eastAsia="Cambria" w:hAnsi="Cambria" w:cs="Cambria"/>
          <w:i/>
          <w:iCs/>
        </w:rPr>
        <w:t>vysvětlení: Nejčastější chybou a přístupem nováčků je, že se soustředí čistě a omezeně na to, co chtějí říct, a vůbec nevnímají to</w:t>
      </w:r>
      <w:r>
        <w:rPr>
          <w:rFonts w:ascii="Cambria" w:eastAsia="Cambria" w:hAnsi="Cambria" w:cs="Cambria"/>
          <w:i/>
          <w:iCs/>
        </w:rPr>
        <w:t>, jak to říkají a hlavně to, jak to působí na jejich posluchače! Velmi obtížné je pro nováčky naslouchání názoru jiného (například soudce) v jakékoliv formě (například ve formě položené otázky).</w:t>
      </w:r>
    </w:p>
    <w:p w:rsidR="00120400" w:rsidRDefault="002B5D4D">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226060</wp:posOffset>
            </wp:positionH>
            <wp:positionV relativeFrom="paragraph">
              <wp:posOffset>46355</wp:posOffset>
            </wp:positionV>
            <wp:extent cx="330200" cy="2190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6" w:lineRule="exact"/>
        <w:rPr>
          <w:sz w:val="20"/>
          <w:szCs w:val="20"/>
        </w:rPr>
      </w:pPr>
    </w:p>
    <w:p w:rsidR="00120400" w:rsidRDefault="002B5D4D" w:rsidP="002B5D4D">
      <w:pPr>
        <w:spacing w:line="239" w:lineRule="auto"/>
        <w:ind w:left="720" w:right="20"/>
        <w:jc w:val="both"/>
        <w:rPr>
          <w:sz w:val="20"/>
          <w:szCs w:val="20"/>
        </w:rPr>
      </w:pPr>
      <w:r>
        <w:rPr>
          <w:rFonts w:ascii="Cambria" w:eastAsia="Cambria" w:hAnsi="Cambria" w:cs="Cambria"/>
          <w:sz w:val="26"/>
          <w:szCs w:val="26"/>
        </w:rPr>
        <w:t xml:space="preserve">správná reakce na přerušení včetně schopnosti </w:t>
      </w:r>
      <w:r>
        <w:rPr>
          <w:rFonts w:ascii="Cambria" w:eastAsia="Cambria" w:hAnsi="Cambria" w:cs="Cambria"/>
          <w:sz w:val="26"/>
          <w:szCs w:val="26"/>
        </w:rPr>
        <w:t>re-orientace na jiný problém a navrácení se k původnímu problému</w:t>
      </w:r>
    </w:p>
    <w:p w:rsidR="00120400" w:rsidRDefault="002B5D4D">
      <w:pPr>
        <w:ind w:left="720" w:right="20"/>
        <w:jc w:val="both"/>
        <w:rPr>
          <w:sz w:val="20"/>
          <w:szCs w:val="20"/>
        </w:rPr>
      </w:pPr>
      <w:r>
        <w:rPr>
          <w:rFonts w:ascii="Cambria" w:eastAsia="Cambria" w:hAnsi="Cambria" w:cs="Cambria"/>
          <w:i/>
          <w:iCs/>
        </w:rPr>
        <w:t>vysvětlení: Další častou chybou je, že se řečník nedokáže oprostit od toho, co chtěl říci a jen těžkopádně reaguje na podněty přerušující jeho projev. Pokud je reakce schopen, mívá pak probl</w:t>
      </w:r>
      <w:r>
        <w:rPr>
          <w:rFonts w:ascii="Cambria" w:eastAsia="Cambria" w:hAnsi="Cambria" w:cs="Cambria"/>
          <w:i/>
          <w:iCs/>
        </w:rPr>
        <w:t>ém navázat na přerušení tím, že se vrátí (a posluchače přitom na toto navrácení upozorní) k původnímu záměru svého projevu.</w:t>
      </w:r>
    </w:p>
    <w:p w:rsidR="00120400" w:rsidRDefault="002B5D4D">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226060</wp:posOffset>
            </wp:positionH>
            <wp:positionV relativeFrom="paragraph">
              <wp:posOffset>46355</wp:posOffset>
            </wp:positionV>
            <wp:extent cx="330200" cy="2190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6" w:lineRule="exact"/>
        <w:rPr>
          <w:sz w:val="20"/>
          <w:szCs w:val="20"/>
        </w:rPr>
      </w:pPr>
    </w:p>
    <w:p w:rsidR="00120400" w:rsidRDefault="002B5D4D" w:rsidP="002B5D4D">
      <w:pPr>
        <w:spacing w:line="239" w:lineRule="auto"/>
        <w:ind w:left="720" w:right="20"/>
        <w:jc w:val="both"/>
        <w:rPr>
          <w:sz w:val="20"/>
          <w:szCs w:val="20"/>
        </w:rPr>
      </w:pPr>
      <w:r>
        <w:rPr>
          <w:rFonts w:ascii="Cambria" w:eastAsia="Cambria" w:hAnsi="Cambria" w:cs="Cambria"/>
          <w:sz w:val="26"/>
          <w:szCs w:val="26"/>
        </w:rPr>
        <w:t xml:space="preserve">přesvědčivost chápaná jako schopnost získání soudce „na svou stranu“ pomocí využití citově více zabarvených či argumentačně více </w:t>
      </w:r>
      <w:r>
        <w:rPr>
          <w:rFonts w:ascii="Cambria" w:eastAsia="Cambria" w:hAnsi="Cambria" w:cs="Cambria"/>
          <w:sz w:val="26"/>
          <w:szCs w:val="26"/>
        </w:rPr>
        <w:t>přesvědčivých výrazů</w:t>
      </w:r>
    </w:p>
    <w:p w:rsidR="00120400" w:rsidRDefault="002B5D4D">
      <w:pPr>
        <w:spacing w:line="239" w:lineRule="auto"/>
        <w:ind w:left="720"/>
        <w:jc w:val="both"/>
        <w:rPr>
          <w:sz w:val="20"/>
          <w:szCs w:val="20"/>
        </w:rPr>
      </w:pPr>
      <w:r>
        <w:rPr>
          <w:rFonts w:ascii="Cambria" w:eastAsia="Cambria" w:hAnsi="Cambria" w:cs="Cambria"/>
          <w:i/>
          <w:iCs/>
        </w:rPr>
        <w:t>vysvětlení: Například velmi neutrální pojmenování strany (například: „žalobce“, „žalovaný“, „můj klient“) může být efektivně nahrazeno slovním obratem zvýrazňujícím náhled týmu na postavení strany sporu (například: u rozvodového řízen</w:t>
      </w:r>
      <w:r>
        <w:rPr>
          <w:rFonts w:ascii="Cambria" w:eastAsia="Cambria" w:hAnsi="Cambria" w:cs="Cambria"/>
          <w:i/>
          <w:iCs/>
        </w:rPr>
        <w:t>í, kdy je důležité zdůraznit schopnosti matky jako dobré pečovatelky, ji lze označit za „starostlivou matku dvou dětí“). Podobně mohou být „umocněny“ některé argumenty (například: „To, co protistrana namítá</w:t>
      </w:r>
    </w:p>
    <w:p w:rsidR="00120400" w:rsidRDefault="00120400">
      <w:pPr>
        <w:spacing w:line="6" w:lineRule="exact"/>
        <w:rPr>
          <w:sz w:val="20"/>
          <w:szCs w:val="20"/>
        </w:rPr>
      </w:pPr>
    </w:p>
    <w:p w:rsidR="00120400" w:rsidRDefault="002B5D4D">
      <w:pPr>
        <w:numPr>
          <w:ilvl w:val="0"/>
          <w:numId w:val="2"/>
        </w:numPr>
        <w:tabs>
          <w:tab w:val="left" w:pos="995"/>
        </w:tabs>
        <w:spacing w:line="239" w:lineRule="auto"/>
        <w:ind w:left="720" w:hanging="4"/>
        <w:jc w:val="both"/>
        <w:rPr>
          <w:rFonts w:ascii="Cambria" w:eastAsia="Cambria" w:hAnsi="Cambria" w:cs="Cambria"/>
          <w:i/>
          <w:iCs/>
        </w:rPr>
      </w:pPr>
      <w:r>
        <w:rPr>
          <w:rFonts w:ascii="Cambria" w:eastAsia="Cambria" w:hAnsi="Cambria" w:cs="Cambria"/>
          <w:i/>
          <w:iCs/>
        </w:rPr>
        <w:t>není právně relevantní“ může být nahrazeno takto</w:t>
      </w:r>
      <w:r>
        <w:rPr>
          <w:rFonts w:ascii="Cambria" w:eastAsia="Cambria" w:hAnsi="Cambria" w:cs="Cambria"/>
          <w:i/>
          <w:iCs/>
        </w:rPr>
        <w:t>: „Pokud bychom přistoupili na námitku protistrany … dospěli bychom k nesprávnému/nespravedlivému/právně nepodloženému závěru že …“)</w:t>
      </w:r>
    </w:p>
    <w:p w:rsidR="00120400" w:rsidRDefault="002B5D4D">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4784725</wp:posOffset>
            </wp:positionH>
            <wp:positionV relativeFrom="paragraph">
              <wp:posOffset>12065</wp:posOffset>
            </wp:positionV>
            <wp:extent cx="1628775" cy="9163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blip>
                    <a:srcRect/>
                    <a:stretch>
                      <a:fillRect/>
                    </a:stretch>
                  </pic:blipFill>
                  <pic:spPr bwMode="auto">
                    <a:xfrm>
                      <a:off x="0" y="0"/>
                      <a:ext cx="1628775" cy="916305"/>
                    </a:xfrm>
                    <a:prstGeom prst="rect">
                      <a:avLst/>
                    </a:prstGeom>
                    <a:noFill/>
                  </pic:spPr>
                </pic:pic>
              </a:graphicData>
            </a:graphic>
          </wp:anchor>
        </w:drawing>
      </w:r>
    </w:p>
    <w:p w:rsidR="00120400" w:rsidRDefault="00120400">
      <w:pPr>
        <w:sectPr w:rsidR="00120400">
          <w:pgSz w:w="11900" w:h="16840"/>
          <w:pgMar w:top="1440" w:right="1405" w:bottom="1129" w:left="1420" w:header="0" w:footer="0" w:gutter="0"/>
          <w:cols w:space="708" w:equalWidth="0">
            <w:col w:w="9080"/>
          </w:cols>
        </w:sectPr>
      </w:pPr>
    </w:p>
    <w:p w:rsidR="00120400" w:rsidRDefault="002B5D4D">
      <w:pPr>
        <w:spacing w:line="389" w:lineRule="exact"/>
        <w:rPr>
          <w:sz w:val="20"/>
          <w:szCs w:val="20"/>
        </w:rPr>
      </w:pPr>
      <w:bookmarkStart w:id="5" w:name="page6"/>
      <w:bookmarkEnd w:id="5"/>
      <w:r>
        <w:rPr>
          <w:noProof/>
          <w:sz w:val="20"/>
          <w:szCs w:val="20"/>
        </w:rPr>
        <w:lastRenderedPageBreak/>
        <w:drawing>
          <wp:anchor distT="0" distB="0" distL="114300" distR="114300" simplePos="0" relativeHeight="251667456" behindDoc="1" locked="0" layoutInCell="0" allowOverlap="1">
            <wp:simplePos x="0" y="0"/>
            <wp:positionH relativeFrom="page">
              <wp:posOffset>197485</wp:posOffset>
            </wp:positionH>
            <wp:positionV relativeFrom="page">
              <wp:posOffset>113030</wp:posOffset>
            </wp:positionV>
            <wp:extent cx="1853565" cy="9093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853565" cy="90932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page">
              <wp:posOffset>1127760</wp:posOffset>
            </wp:positionH>
            <wp:positionV relativeFrom="page">
              <wp:posOffset>1153160</wp:posOffset>
            </wp:positionV>
            <wp:extent cx="330200" cy="2190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330200" cy="219075"/>
                    </a:xfrm>
                    <a:prstGeom prst="rect">
                      <a:avLst/>
                    </a:prstGeom>
                    <a:noFill/>
                  </pic:spPr>
                </pic:pic>
              </a:graphicData>
            </a:graphic>
          </wp:anchor>
        </w:drawing>
      </w:r>
    </w:p>
    <w:p w:rsidR="00120400" w:rsidRDefault="002B5D4D" w:rsidP="002B5D4D">
      <w:pPr>
        <w:spacing w:line="239" w:lineRule="auto"/>
        <w:ind w:left="700" w:right="20"/>
        <w:jc w:val="both"/>
        <w:rPr>
          <w:sz w:val="20"/>
          <w:szCs w:val="20"/>
        </w:rPr>
      </w:pPr>
      <w:r>
        <w:rPr>
          <w:rFonts w:ascii="Cambria" w:eastAsia="Cambria" w:hAnsi="Cambria" w:cs="Cambria"/>
          <w:sz w:val="26"/>
          <w:szCs w:val="26"/>
        </w:rPr>
        <w:t>vyrovnaný,</w:t>
      </w:r>
      <w:r>
        <w:rPr>
          <w:rFonts w:ascii="Cambria" w:eastAsia="Cambria" w:hAnsi="Cambria" w:cs="Cambria"/>
          <w:sz w:val="26"/>
          <w:szCs w:val="26"/>
        </w:rPr>
        <w:t xml:space="preserve"> avšak ne nevšímavý,</w:t>
      </w:r>
      <w:r>
        <w:rPr>
          <w:rFonts w:ascii="Cambria" w:eastAsia="Cambria" w:hAnsi="Cambria" w:cs="Cambria"/>
          <w:sz w:val="26"/>
          <w:szCs w:val="26"/>
        </w:rPr>
        <w:t xml:space="preserve"> a ne útočný postoj k reakcím protistrany nepřejímající úlohu obránc</w:t>
      </w:r>
      <w:r>
        <w:rPr>
          <w:rFonts w:ascii="Cambria" w:eastAsia="Cambria" w:hAnsi="Cambria" w:cs="Cambria"/>
          <w:sz w:val="26"/>
          <w:szCs w:val="26"/>
        </w:rPr>
        <w:t>e či útočníka</w:t>
      </w:r>
    </w:p>
    <w:p w:rsidR="00120400" w:rsidRDefault="002B5D4D">
      <w:pPr>
        <w:spacing w:line="238" w:lineRule="auto"/>
        <w:ind w:left="700" w:right="20"/>
        <w:jc w:val="both"/>
        <w:rPr>
          <w:sz w:val="20"/>
          <w:szCs w:val="20"/>
        </w:rPr>
      </w:pPr>
      <w:r>
        <w:rPr>
          <w:rFonts w:ascii="Cambria" w:eastAsia="Cambria" w:hAnsi="Cambria" w:cs="Cambria"/>
          <w:i/>
          <w:iCs/>
        </w:rPr>
        <w:t xml:space="preserve">vysvětlení: Jednou z chyb řečníků je dívat se na tým protistrany jako na nepřítele a také s ním tak jednat. Nejčastěji se (zvlášť při replice) tedy řečník postaví do pozice obránce (pozice: Můj klient je v právu a váš klient v právu </w:t>
      </w:r>
      <w:r>
        <w:rPr>
          <w:rFonts w:ascii="Cambria" w:eastAsia="Cambria" w:hAnsi="Cambria" w:cs="Cambria"/>
          <w:i/>
          <w:iCs/>
        </w:rPr>
        <w:t>není) nebo dokonce do pozice útočníka (pozice: Vy jste lháři a já s vámi zatočím).</w:t>
      </w:r>
    </w:p>
    <w:p w:rsidR="00120400" w:rsidRDefault="002B5D4D">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213360</wp:posOffset>
            </wp:positionH>
            <wp:positionV relativeFrom="paragraph">
              <wp:posOffset>48260</wp:posOffset>
            </wp:positionV>
            <wp:extent cx="330200" cy="2190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7" w:lineRule="exact"/>
        <w:rPr>
          <w:sz w:val="20"/>
          <w:szCs w:val="20"/>
        </w:rPr>
      </w:pPr>
    </w:p>
    <w:p w:rsidR="00120400" w:rsidRDefault="002B5D4D" w:rsidP="002B5D4D">
      <w:pPr>
        <w:ind w:left="700"/>
        <w:rPr>
          <w:sz w:val="20"/>
          <w:szCs w:val="20"/>
        </w:rPr>
      </w:pPr>
      <w:r>
        <w:rPr>
          <w:rFonts w:ascii="Cambria" w:eastAsia="Cambria" w:hAnsi="Cambria" w:cs="Cambria"/>
          <w:sz w:val="26"/>
          <w:szCs w:val="26"/>
        </w:rPr>
        <w:t>efektivní rozdělení rolí v týmu</w:t>
      </w:r>
    </w:p>
    <w:p w:rsidR="00120400" w:rsidRDefault="002B5D4D">
      <w:pPr>
        <w:spacing w:line="239" w:lineRule="auto"/>
        <w:ind w:left="700"/>
        <w:jc w:val="both"/>
        <w:rPr>
          <w:sz w:val="20"/>
          <w:szCs w:val="20"/>
        </w:rPr>
      </w:pPr>
      <w:r>
        <w:rPr>
          <w:rFonts w:ascii="Cambria" w:eastAsia="Cambria" w:hAnsi="Cambria" w:cs="Cambria"/>
          <w:i/>
          <w:iCs/>
        </w:rPr>
        <w:t>vysvětlení: Ne všichni členové týmu musí nutně být dobrými řečníky a je na týmu, aby zvolil takové nastavení rolí pro jednotlivé členy tý</w:t>
      </w:r>
      <w:r>
        <w:rPr>
          <w:rFonts w:ascii="Cambria" w:eastAsia="Cambria" w:hAnsi="Cambria" w:cs="Cambria"/>
          <w:i/>
          <w:iCs/>
        </w:rPr>
        <w:t>mu, které mu pomůže dosáhnout nejlepšího výsledku. Tým by proto neměl být odsuzován, zvolí-li si že v rámci ústních prezentací budou roli řečníků zastávat pouze dva členové týmu. Zároveň by mělo být řádně oceněno, pokud za tým v rámci ústní prezentace vyst</w:t>
      </w:r>
      <w:r>
        <w:rPr>
          <w:rFonts w:ascii="Cambria" w:eastAsia="Cambria" w:hAnsi="Cambria" w:cs="Cambria"/>
          <w:i/>
          <w:iCs/>
        </w:rPr>
        <w:t>oupí více řečníků, neboť koordinace více řečníků je náročná. Zvláště je pak třeba ocenit schopnost zkoordinovat tým s více řečníky při přerušení prezentace soudcem, kdy se odpovědi ujme jiný z řečníků.</w:t>
      </w:r>
    </w:p>
    <w:p w:rsidR="00120400" w:rsidRDefault="002B5D4D">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213360</wp:posOffset>
            </wp:positionH>
            <wp:positionV relativeFrom="paragraph">
              <wp:posOffset>48895</wp:posOffset>
            </wp:positionV>
            <wp:extent cx="330200" cy="2190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8" w:lineRule="exact"/>
        <w:rPr>
          <w:sz w:val="20"/>
          <w:szCs w:val="20"/>
        </w:rPr>
      </w:pPr>
    </w:p>
    <w:p w:rsidR="00120400" w:rsidRDefault="002B5D4D" w:rsidP="002B5D4D">
      <w:pPr>
        <w:ind w:left="700"/>
        <w:rPr>
          <w:sz w:val="20"/>
          <w:szCs w:val="20"/>
        </w:rPr>
      </w:pPr>
      <w:r>
        <w:rPr>
          <w:rFonts w:ascii="Cambria" w:eastAsia="Cambria" w:hAnsi="Cambria" w:cs="Cambria"/>
          <w:sz w:val="26"/>
          <w:szCs w:val="26"/>
        </w:rPr>
        <w:t>hodnocení výkonu týmu jako celku</w:t>
      </w:r>
    </w:p>
    <w:p w:rsidR="00120400" w:rsidRDefault="002B5D4D">
      <w:pPr>
        <w:ind w:left="700"/>
        <w:jc w:val="both"/>
        <w:rPr>
          <w:sz w:val="20"/>
          <w:szCs w:val="20"/>
        </w:rPr>
      </w:pPr>
      <w:r>
        <w:rPr>
          <w:rFonts w:ascii="Cambria" w:eastAsia="Cambria" w:hAnsi="Cambria" w:cs="Cambria"/>
          <w:i/>
          <w:iCs/>
        </w:rPr>
        <w:t>vysvětlení: I sou</w:t>
      </w:r>
      <w:r>
        <w:rPr>
          <w:rFonts w:ascii="Cambria" w:eastAsia="Cambria" w:hAnsi="Cambria" w:cs="Cambria"/>
          <w:i/>
          <w:iCs/>
        </w:rPr>
        <w:t xml:space="preserve">dci jsou jenom lidi a podléhají různým dojmům. Jistěže působivý řečník neboli „tahoun“ týmu dokáže vytvořit dobrý dojem. Je však důležité, aby soudci co nejvíce hodnotili výkon týmu jako celku a nenechali se oslnit jedním řečníkem s jedním velmi plamenným </w:t>
      </w:r>
      <w:r>
        <w:rPr>
          <w:rFonts w:ascii="Cambria" w:eastAsia="Cambria" w:hAnsi="Cambria" w:cs="Cambria"/>
          <w:i/>
          <w:iCs/>
        </w:rPr>
        <w:t>projevem. Opravdu výjimečný výkon jednotlivého řečníka bude v soutěži ohodnocen cenou pro nejlepšího řečníka ústních kol celostátní soutěže.</w:t>
      </w:r>
    </w:p>
    <w:p w:rsidR="00120400" w:rsidRDefault="002B5D4D">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4772025</wp:posOffset>
            </wp:positionH>
            <wp:positionV relativeFrom="paragraph">
              <wp:posOffset>4446270</wp:posOffset>
            </wp:positionV>
            <wp:extent cx="1628775" cy="9163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blip>
                    <a:srcRect/>
                    <a:stretch>
                      <a:fillRect/>
                    </a:stretch>
                  </pic:blipFill>
                  <pic:spPr bwMode="auto">
                    <a:xfrm>
                      <a:off x="0" y="0"/>
                      <a:ext cx="1628775" cy="916305"/>
                    </a:xfrm>
                    <a:prstGeom prst="rect">
                      <a:avLst/>
                    </a:prstGeom>
                    <a:noFill/>
                  </pic:spPr>
                </pic:pic>
              </a:graphicData>
            </a:graphic>
          </wp:anchor>
        </w:drawing>
      </w:r>
    </w:p>
    <w:p w:rsidR="00120400" w:rsidRDefault="00120400">
      <w:pPr>
        <w:sectPr w:rsidR="00120400">
          <w:pgSz w:w="11900" w:h="16840"/>
          <w:pgMar w:top="1440" w:right="1405" w:bottom="1440" w:left="1440" w:header="0" w:footer="0" w:gutter="0"/>
          <w:cols w:space="708" w:equalWidth="0">
            <w:col w:w="9060"/>
          </w:cols>
        </w:sectPr>
      </w:pPr>
    </w:p>
    <w:p w:rsidR="00120400" w:rsidRDefault="002B5D4D">
      <w:pPr>
        <w:spacing w:line="200" w:lineRule="exact"/>
        <w:rPr>
          <w:sz w:val="20"/>
          <w:szCs w:val="20"/>
        </w:rPr>
      </w:pPr>
      <w:bookmarkStart w:id="6" w:name="page7"/>
      <w:bookmarkEnd w:id="6"/>
      <w:r>
        <w:rPr>
          <w:noProof/>
          <w:sz w:val="20"/>
          <w:szCs w:val="20"/>
        </w:rPr>
        <w:lastRenderedPageBreak/>
        <w:drawing>
          <wp:anchor distT="0" distB="0" distL="114300" distR="114300" simplePos="0" relativeHeight="251672576" behindDoc="1" locked="0" layoutInCell="0" allowOverlap="1">
            <wp:simplePos x="0" y="0"/>
            <wp:positionH relativeFrom="page">
              <wp:posOffset>197485</wp:posOffset>
            </wp:positionH>
            <wp:positionV relativeFrom="page">
              <wp:posOffset>113030</wp:posOffset>
            </wp:positionV>
            <wp:extent cx="1853565" cy="9093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853565" cy="90932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page">
              <wp:posOffset>822960</wp:posOffset>
            </wp:positionH>
            <wp:positionV relativeFrom="page">
              <wp:posOffset>1302385</wp:posOffset>
            </wp:positionV>
            <wp:extent cx="5914390" cy="2317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5914390" cy="231775"/>
                    </a:xfrm>
                    <a:prstGeom prst="rect">
                      <a:avLst/>
                    </a:prstGeom>
                    <a:noFill/>
                  </pic:spPr>
                </pic:pic>
              </a:graphicData>
            </a:graphic>
          </wp:anchor>
        </w:drawing>
      </w:r>
    </w:p>
    <w:p w:rsidR="00120400" w:rsidRDefault="00120400">
      <w:pPr>
        <w:spacing w:line="200" w:lineRule="exact"/>
        <w:rPr>
          <w:sz w:val="20"/>
          <w:szCs w:val="20"/>
        </w:rPr>
      </w:pPr>
    </w:p>
    <w:p w:rsidR="00120400" w:rsidRDefault="00120400">
      <w:pPr>
        <w:spacing w:line="237" w:lineRule="exact"/>
        <w:rPr>
          <w:sz w:val="20"/>
          <w:szCs w:val="20"/>
        </w:rPr>
      </w:pPr>
    </w:p>
    <w:p w:rsidR="00120400" w:rsidRDefault="002B5D4D">
      <w:pPr>
        <w:rPr>
          <w:sz w:val="20"/>
          <w:szCs w:val="20"/>
        </w:rPr>
      </w:pPr>
      <w:r>
        <w:rPr>
          <w:rFonts w:ascii="Cambria" w:eastAsia="Cambria" w:hAnsi="Cambria" w:cs="Cambria"/>
          <w:b/>
          <w:bCs/>
          <w:sz w:val="26"/>
          <w:szCs w:val="26"/>
        </w:rPr>
        <w:t>Celkový dojem ústní prezentace</w:t>
      </w:r>
    </w:p>
    <w:p w:rsidR="00120400" w:rsidRDefault="002B5D4D">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-78105</wp:posOffset>
            </wp:positionH>
            <wp:positionV relativeFrom="paragraph">
              <wp:posOffset>215265</wp:posOffset>
            </wp:positionV>
            <wp:extent cx="5914390" cy="119761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blip>
                    <a:srcRect/>
                    <a:stretch>
                      <a:fillRect/>
                    </a:stretch>
                  </pic:blipFill>
                  <pic:spPr bwMode="auto">
                    <a:xfrm>
                      <a:off x="0" y="0"/>
                      <a:ext cx="5914390" cy="1197610"/>
                    </a:xfrm>
                    <a:prstGeom prst="rect">
                      <a:avLst/>
                    </a:prstGeom>
                    <a:noFill/>
                  </pic:spPr>
                </pic:pic>
              </a:graphicData>
            </a:graphic>
          </wp:anchor>
        </w:drawing>
      </w:r>
    </w:p>
    <w:p w:rsidR="00120400" w:rsidRDefault="00120400">
      <w:pPr>
        <w:spacing w:line="346" w:lineRule="exact"/>
        <w:rPr>
          <w:sz w:val="20"/>
          <w:szCs w:val="20"/>
        </w:rPr>
      </w:pPr>
    </w:p>
    <w:p w:rsidR="00120400" w:rsidRDefault="002B5D4D">
      <w:pPr>
        <w:ind w:left="700"/>
        <w:rPr>
          <w:sz w:val="20"/>
          <w:szCs w:val="20"/>
        </w:rPr>
      </w:pPr>
      <w:r>
        <w:rPr>
          <w:rFonts w:ascii="Cambria" w:eastAsia="Cambria" w:hAnsi="Cambria" w:cs="Cambria"/>
          <w:sz w:val="26"/>
          <w:szCs w:val="26"/>
        </w:rPr>
        <w:t>Stupnice pro hodnocení (JAK hodnotit):</w:t>
      </w:r>
    </w:p>
    <w:p w:rsidR="00120400" w:rsidRDefault="002B5D4D">
      <w:pPr>
        <w:spacing w:line="237" w:lineRule="auto"/>
        <w:ind w:left="700"/>
        <w:rPr>
          <w:sz w:val="20"/>
          <w:szCs w:val="20"/>
        </w:rPr>
      </w:pPr>
      <w:r>
        <w:rPr>
          <w:rFonts w:ascii="Cambria" w:eastAsia="Cambria" w:hAnsi="Cambria" w:cs="Cambria"/>
          <w:sz w:val="26"/>
          <w:szCs w:val="26"/>
        </w:rPr>
        <w:t xml:space="preserve">0-1 </w:t>
      </w:r>
      <w:r>
        <w:rPr>
          <w:rFonts w:ascii="Cambria" w:eastAsia="Cambria" w:hAnsi="Cambria" w:cs="Cambria"/>
          <w:sz w:val="26"/>
          <w:szCs w:val="26"/>
        </w:rPr>
        <w:t>nedostačující až velmi podprůměrné</w:t>
      </w:r>
    </w:p>
    <w:p w:rsidR="00120400" w:rsidRDefault="002B5D4D">
      <w:pPr>
        <w:ind w:left="700"/>
        <w:rPr>
          <w:sz w:val="20"/>
          <w:szCs w:val="20"/>
        </w:rPr>
      </w:pPr>
      <w:r>
        <w:rPr>
          <w:rFonts w:ascii="Cambria" w:eastAsia="Cambria" w:hAnsi="Cambria" w:cs="Cambria"/>
          <w:sz w:val="26"/>
          <w:szCs w:val="26"/>
        </w:rPr>
        <w:t>2-3 podprůměrné až dostatečné</w:t>
      </w:r>
    </w:p>
    <w:p w:rsidR="00120400" w:rsidRDefault="002B5D4D">
      <w:pPr>
        <w:ind w:left="700"/>
        <w:rPr>
          <w:sz w:val="20"/>
          <w:szCs w:val="20"/>
        </w:rPr>
      </w:pPr>
      <w:r>
        <w:rPr>
          <w:rFonts w:ascii="Cambria" w:eastAsia="Cambria" w:hAnsi="Cambria" w:cs="Cambria"/>
          <w:sz w:val="26"/>
          <w:szCs w:val="26"/>
        </w:rPr>
        <w:t>4-6 vcelku odpovídající až lehce nadprůměrné</w:t>
      </w:r>
    </w:p>
    <w:p w:rsidR="00120400" w:rsidRDefault="002B5D4D">
      <w:pPr>
        <w:ind w:left="700"/>
        <w:rPr>
          <w:sz w:val="20"/>
          <w:szCs w:val="20"/>
        </w:rPr>
      </w:pPr>
      <w:r>
        <w:rPr>
          <w:rFonts w:ascii="Cambria" w:eastAsia="Cambria" w:hAnsi="Cambria" w:cs="Cambria"/>
          <w:sz w:val="26"/>
          <w:szCs w:val="26"/>
        </w:rPr>
        <w:t>7-8 nadprůměrné až velmi dobře propracované</w:t>
      </w:r>
    </w:p>
    <w:p w:rsidR="00120400" w:rsidRDefault="002B5D4D">
      <w:pPr>
        <w:ind w:left="700"/>
        <w:rPr>
          <w:sz w:val="20"/>
          <w:szCs w:val="20"/>
        </w:rPr>
      </w:pPr>
      <w:r>
        <w:rPr>
          <w:rFonts w:ascii="Cambria" w:eastAsia="Cambria" w:hAnsi="Cambria" w:cs="Cambria"/>
          <w:sz w:val="26"/>
          <w:szCs w:val="26"/>
        </w:rPr>
        <w:t>9-10 výborně propracované až výjimečně propracované</w:t>
      </w:r>
    </w:p>
    <w:p w:rsidR="00120400" w:rsidRDefault="00120400">
      <w:pPr>
        <w:spacing w:line="337" w:lineRule="exact"/>
        <w:rPr>
          <w:sz w:val="20"/>
          <w:szCs w:val="20"/>
        </w:rPr>
      </w:pPr>
    </w:p>
    <w:p w:rsidR="00120400" w:rsidRDefault="002B5D4D">
      <w:pPr>
        <w:spacing w:line="239" w:lineRule="auto"/>
        <w:ind w:right="20"/>
        <w:rPr>
          <w:sz w:val="20"/>
          <w:szCs w:val="20"/>
        </w:rPr>
      </w:pPr>
      <w:r>
        <w:rPr>
          <w:rFonts w:ascii="Cambria" w:eastAsia="Cambria" w:hAnsi="Cambria" w:cs="Cambria"/>
          <w:sz w:val="26"/>
          <w:szCs w:val="26"/>
        </w:rPr>
        <w:t>Aspekty zahrnuté do hodnocení celkového dojmu úst</w:t>
      </w:r>
      <w:r>
        <w:rPr>
          <w:rFonts w:ascii="Cambria" w:eastAsia="Cambria" w:hAnsi="Cambria" w:cs="Cambria"/>
          <w:sz w:val="26"/>
          <w:szCs w:val="26"/>
        </w:rPr>
        <w:t>ních prezentací (CO hodnotit):</w:t>
      </w:r>
    </w:p>
    <w:p w:rsidR="00120400" w:rsidRDefault="002B5D4D">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226060</wp:posOffset>
            </wp:positionH>
            <wp:positionV relativeFrom="paragraph">
              <wp:posOffset>47625</wp:posOffset>
            </wp:positionV>
            <wp:extent cx="330200" cy="21907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6" w:lineRule="exact"/>
        <w:rPr>
          <w:sz w:val="20"/>
          <w:szCs w:val="20"/>
        </w:rPr>
      </w:pPr>
    </w:p>
    <w:p w:rsidR="00120400" w:rsidRDefault="002B5D4D" w:rsidP="002B5D4D">
      <w:pPr>
        <w:ind w:left="720"/>
        <w:rPr>
          <w:sz w:val="20"/>
          <w:szCs w:val="20"/>
        </w:rPr>
      </w:pPr>
      <w:r>
        <w:rPr>
          <w:rFonts w:ascii="Cambria" w:eastAsia="Cambria" w:hAnsi="Cambria" w:cs="Cambria"/>
          <w:sz w:val="26"/>
          <w:szCs w:val="26"/>
        </w:rPr>
        <w:t>soustředěný, klidný a neuspěchaný přednes</w:t>
      </w:r>
    </w:p>
    <w:p w:rsidR="00120400" w:rsidRDefault="002B5D4D">
      <w:pPr>
        <w:spacing w:line="239" w:lineRule="auto"/>
        <w:ind w:left="720" w:right="20"/>
        <w:jc w:val="both"/>
        <w:rPr>
          <w:sz w:val="20"/>
          <w:szCs w:val="20"/>
        </w:rPr>
      </w:pPr>
      <w:r>
        <w:rPr>
          <w:rFonts w:ascii="Cambria" w:eastAsia="Cambria" w:hAnsi="Cambria" w:cs="Cambria"/>
          <w:i/>
          <w:iCs/>
        </w:rPr>
        <w:t>vysvětlení: Naprosto nejčastější chyba řečníků nováčků je příliš rychlý přednes, při kterém soudci (ani nikdo jiný neobeznámený předem s obsahem projevu) nestačí sledovat myšlenky</w:t>
      </w:r>
      <w:r>
        <w:rPr>
          <w:rFonts w:ascii="Cambria" w:eastAsia="Cambria" w:hAnsi="Cambria" w:cs="Cambria"/>
          <w:i/>
          <w:iCs/>
        </w:rPr>
        <w:t xml:space="preserve"> v přednesu obsažené.</w:t>
      </w:r>
    </w:p>
    <w:p w:rsidR="00120400" w:rsidRDefault="002B5D4D">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226060</wp:posOffset>
            </wp:positionH>
            <wp:positionV relativeFrom="paragraph">
              <wp:posOffset>46355</wp:posOffset>
            </wp:positionV>
            <wp:extent cx="330200" cy="2190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5" w:lineRule="exact"/>
        <w:rPr>
          <w:sz w:val="20"/>
          <w:szCs w:val="20"/>
        </w:rPr>
      </w:pPr>
    </w:p>
    <w:p w:rsidR="00120400" w:rsidRDefault="002B5D4D" w:rsidP="002B5D4D">
      <w:pPr>
        <w:ind w:left="720"/>
        <w:rPr>
          <w:sz w:val="20"/>
          <w:szCs w:val="20"/>
        </w:rPr>
      </w:pPr>
      <w:r>
        <w:rPr>
          <w:rFonts w:ascii="Cambria" w:eastAsia="Cambria" w:hAnsi="Cambria" w:cs="Cambria"/>
          <w:sz w:val="26"/>
          <w:szCs w:val="26"/>
        </w:rPr>
        <w:t>omezení neverbální komunikace na přijatelné projevy</w:t>
      </w:r>
    </w:p>
    <w:p w:rsidR="00120400" w:rsidRDefault="002B5D4D">
      <w:pPr>
        <w:ind w:left="720"/>
        <w:jc w:val="both"/>
        <w:rPr>
          <w:sz w:val="20"/>
          <w:szCs w:val="20"/>
        </w:rPr>
      </w:pPr>
      <w:r>
        <w:rPr>
          <w:rFonts w:ascii="Cambria" w:eastAsia="Cambria" w:hAnsi="Cambria" w:cs="Cambria"/>
          <w:i/>
          <w:iCs/>
        </w:rPr>
        <w:t>vysvětlení: Jen málokdo si je vědom toho, jak často používá určitou metodu neverbální komunikace, která je ve svém efektu nepřijatelná buď profesně (například odpovídání na otázk</w:t>
      </w:r>
      <w:r>
        <w:rPr>
          <w:rFonts w:ascii="Cambria" w:eastAsia="Cambria" w:hAnsi="Cambria" w:cs="Cambria"/>
          <w:i/>
          <w:iCs/>
        </w:rPr>
        <w:t>y soudce pohupujíce se na židli a přežvykujíce žvýkačku) nebo osobně (například nevraživý pohled vržený na prezentujícího člena týmu protistrany). Je nutné sledovat dynamiku této neverbální komunikace mezi týmy a v nutném případě upozornit na nepřípustné e</w:t>
      </w:r>
      <w:r>
        <w:rPr>
          <w:rFonts w:ascii="Cambria" w:eastAsia="Cambria" w:hAnsi="Cambria" w:cs="Cambria"/>
          <w:i/>
          <w:iCs/>
        </w:rPr>
        <w:t>xcesy. Naopak je třeba ocenit dobře zvládnutou neverbální komunikaci podporující například týmovou spolupráci a přispívající ke zlepšení výkonu týmu (například zdvižený palec člena týmu po velmi efektivní odpovědi jiného člena týmu soudci na složitou otázk</w:t>
      </w:r>
      <w:r>
        <w:rPr>
          <w:rFonts w:ascii="Cambria" w:eastAsia="Cambria" w:hAnsi="Cambria" w:cs="Cambria"/>
          <w:i/>
          <w:iCs/>
        </w:rPr>
        <w:t>u).</w:t>
      </w:r>
    </w:p>
    <w:p w:rsidR="00120400" w:rsidRDefault="002B5D4D">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226060</wp:posOffset>
            </wp:positionH>
            <wp:positionV relativeFrom="paragraph">
              <wp:posOffset>46355</wp:posOffset>
            </wp:positionV>
            <wp:extent cx="330200" cy="2190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blip>
                    <a:srcRect/>
                    <a:stretch>
                      <a:fillRect/>
                    </a:stretch>
                  </pic:blipFill>
                  <pic:spPr bwMode="auto">
                    <a:xfrm>
                      <a:off x="0" y="0"/>
                      <a:ext cx="330200" cy="219075"/>
                    </a:xfrm>
                    <a:prstGeom prst="rect">
                      <a:avLst/>
                    </a:prstGeom>
                    <a:noFill/>
                  </pic:spPr>
                </pic:pic>
              </a:graphicData>
            </a:graphic>
          </wp:anchor>
        </w:drawing>
      </w:r>
    </w:p>
    <w:p w:rsidR="00120400" w:rsidRDefault="00120400">
      <w:pPr>
        <w:spacing w:line="66" w:lineRule="exact"/>
        <w:rPr>
          <w:sz w:val="20"/>
          <w:szCs w:val="20"/>
        </w:rPr>
      </w:pPr>
    </w:p>
    <w:p w:rsidR="00120400" w:rsidRDefault="002B5D4D" w:rsidP="002B5D4D">
      <w:pPr>
        <w:spacing w:line="239" w:lineRule="auto"/>
        <w:ind w:left="720" w:right="20"/>
        <w:jc w:val="both"/>
        <w:rPr>
          <w:sz w:val="20"/>
          <w:szCs w:val="20"/>
        </w:rPr>
      </w:pPr>
      <w:r>
        <w:rPr>
          <w:rFonts w:ascii="Cambria" w:eastAsia="Cambria" w:hAnsi="Cambria" w:cs="Cambria"/>
          <w:sz w:val="26"/>
          <w:szCs w:val="26"/>
        </w:rPr>
        <w:t>Uznání chyby či přiznání se k nepřipravenosti (pokud k takové situaci dojde)</w:t>
      </w:r>
      <w:bookmarkStart w:id="7" w:name="_GoBack"/>
      <w:bookmarkEnd w:id="7"/>
    </w:p>
    <w:p w:rsidR="00120400" w:rsidRDefault="002B5D4D">
      <w:pPr>
        <w:spacing w:line="239" w:lineRule="auto"/>
        <w:ind w:left="720"/>
        <w:jc w:val="both"/>
        <w:rPr>
          <w:sz w:val="20"/>
          <w:szCs w:val="20"/>
        </w:rPr>
      </w:pPr>
      <w:r>
        <w:rPr>
          <w:rFonts w:ascii="Cambria" w:eastAsia="Cambria" w:hAnsi="Cambria" w:cs="Cambria"/>
          <w:i/>
          <w:iCs/>
        </w:rPr>
        <w:t xml:space="preserve">vysvětlení: I ti nejlepší studenti se nejsou schopni připravit na 100% a mohou buď udělat nějakou chybu, nebo být přistiženi jako nepřipravení (například soudce se </w:t>
      </w:r>
      <w:r>
        <w:rPr>
          <w:rFonts w:ascii="Cambria" w:eastAsia="Cambria" w:hAnsi="Cambria" w:cs="Cambria"/>
          <w:i/>
          <w:iCs/>
        </w:rPr>
        <w:t>zeptá na to, z jakého pramene informace, kterou právě člen týmu uvedl, pochází). V této situaci má každý na vybranou mezi uznáním vlastní chyby či přiznáním se k nepřipravenosti a tím, aby se z toho pokusil „nějak vybruslit“. Pokud se člen týmu přizná k vl</w:t>
      </w:r>
      <w:r>
        <w:rPr>
          <w:rFonts w:ascii="Cambria" w:eastAsia="Cambria" w:hAnsi="Cambria" w:cs="Cambria"/>
          <w:i/>
          <w:iCs/>
        </w:rPr>
        <w:t>astní chybě či nepřipravenosti, ukazuje to sice na nižší míru dokonalosti, ale na profesní etickou „čistotu“ tohoto studenta a navrhujeme, aby za takové přiznání nebyl hodnocen záporně, ale aby bylo jeho etické chování ohodnoceno kladně.</w:t>
      </w:r>
    </w:p>
    <w:p w:rsidR="00120400" w:rsidRDefault="00120400">
      <w:pPr>
        <w:spacing w:line="319" w:lineRule="exact"/>
        <w:rPr>
          <w:sz w:val="20"/>
          <w:szCs w:val="20"/>
        </w:rPr>
      </w:pPr>
    </w:p>
    <w:p w:rsidR="00120400" w:rsidRDefault="002B5D4D">
      <w:pPr>
        <w:rPr>
          <w:sz w:val="20"/>
          <w:szCs w:val="20"/>
        </w:rPr>
      </w:pPr>
      <w:r>
        <w:rPr>
          <w:rFonts w:ascii="Cambria" w:eastAsia="Cambria" w:hAnsi="Cambria" w:cs="Cambria"/>
          <w:b/>
          <w:bCs/>
          <w:sz w:val="28"/>
          <w:szCs w:val="28"/>
        </w:rPr>
        <w:t>Bodování ústní čá</w:t>
      </w:r>
      <w:r>
        <w:rPr>
          <w:rFonts w:ascii="Cambria" w:eastAsia="Cambria" w:hAnsi="Cambria" w:cs="Cambria"/>
          <w:b/>
          <w:bCs/>
          <w:sz w:val="28"/>
          <w:szCs w:val="28"/>
        </w:rPr>
        <w:t>sti soutěže</w:t>
      </w:r>
    </w:p>
    <w:p w:rsidR="00120400" w:rsidRDefault="00120400">
      <w:pPr>
        <w:spacing w:line="246" w:lineRule="exact"/>
        <w:rPr>
          <w:sz w:val="20"/>
          <w:szCs w:val="20"/>
        </w:rPr>
      </w:pPr>
    </w:p>
    <w:p w:rsidR="00120400" w:rsidRDefault="002B5D4D">
      <w:pPr>
        <w:spacing w:line="239" w:lineRule="auto"/>
        <w:ind w:right="20"/>
        <w:jc w:val="both"/>
        <w:rPr>
          <w:sz w:val="20"/>
          <w:szCs w:val="20"/>
        </w:rPr>
      </w:pPr>
      <w:r>
        <w:rPr>
          <w:rFonts w:ascii="Cambria" w:eastAsia="Cambria" w:hAnsi="Cambria" w:cs="Cambria"/>
          <w:sz w:val="26"/>
          <w:szCs w:val="26"/>
        </w:rPr>
        <w:t xml:space="preserve">Pro určení počtu bodů týmu, který prezentoval před panelem soudců, se sečtou body udělené jednotlivými soudci a tento součet se vydělí počtem soudců v panelu. Maximální počet bodů, jež může tým za ústní část soutěže obdržet je 50 bodů. Aby se </w:t>
      </w:r>
      <w:r>
        <w:rPr>
          <w:rFonts w:ascii="Cambria" w:eastAsia="Cambria" w:hAnsi="Cambria" w:cs="Cambria"/>
          <w:sz w:val="26"/>
          <w:szCs w:val="26"/>
        </w:rPr>
        <w:t>význam ústních prezentací lépe promítl do hodnocení soutěže, body, které tým získá za ústní prezentaci, se vynásobí koeficientem 2,6.</w:t>
      </w:r>
    </w:p>
    <w:p w:rsidR="00120400" w:rsidRDefault="002B5D4D">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4784725</wp:posOffset>
            </wp:positionH>
            <wp:positionV relativeFrom="paragraph">
              <wp:posOffset>-104140</wp:posOffset>
            </wp:positionV>
            <wp:extent cx="1628775" cy="91630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blip>
                    <a:srcRect/>
                    <a:stretch>
                      <a:fillRect/>
                    </a:stretch>
                  </pic:blipFill>
                  <pic:spPr bwMode="auto">
                    <a:xfrm>
                      <a:off x="0" y="0"/>
                      <a:ext cx="1628775" cy="916305"/>
                    </a:xfrm>
                    <a:prstGeom prst="rect">
                      <a:avLst/>
                    </a:prstGeom>
                    <a:noFill/>
                  </pic:spPr>
                </pic:pic>
              </a:graphicData>
            </a:graphic>
          </wp:anchor>
        </w:drawing>
      </w:r>
    </w:p>
    <w:p w:rsidR="00120400" w:rsidRDefault="00120400">
      <w:pPr>
        <w:sectPr w:rsidR="00120400">
          <w:pgSz w:w="11900" w:h="16840"/>
          <w:pgMar w:top="1440" w:right="1405" w:bottom="946" w:left="1420" w:header="0" w:footer="0" w:gutter="0"/>
          <w:cols w:space="708" w:equalWidth="0">
            <w:col w:w="9080"/>
          </w:cols>
        </w:sectPr>
      </w:pPr>
    </w:p>
    <w:p w:rsidR="00120400" w:rsidRDefault="002B5D4D">
      <w:pPr>
        <w:spacing w:line="304" w:lineRule="exact"/>
        <w:rPr>
          <w:sz w:val="20"/>
          <w:szCs w:val="20"/>
        </w:rPr>
      </w:pPr>
      <w:bookmarkStart w:id="8" w:name="page8"/>
      <w:bookmarkEnd w:id="8"/>
      <w:r>
        <w:rPr>
          <w:noProof/>
          <w:sz w:val="20"/>
          <w:szCs w:val="20"/>
        </w:rPr>
        <w:lastRenderedPageBreak/>
        <w:drawing>
          <wp:anchor distT="0" distB="0" distL="114300" distR="114300" simplePos="0" relativeHeight="251679744" behindDoc="1" locked="0" layoutInCell="0" allowOverlap="1">
            <wp:simplePos x="0" y="0"/>
            <wp:positionH relativeFrom="page">
              <wp:posOffset>197485</wp:posOffset>
            </wp:positionH>
            <wp:positionV relativeFrom="page">
              <wp:posOffset>113030</wp:posOffset>
            </wp:positionV>
            <wp:extent cx="1853565" cy="9093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853565" cy="909320"/>
                    </a:xfrm>
                    <a:prstGeom prst="rect">
                      <a:avLst/>
                    </a:prstGeom>
                    <a:noFill/>
                  </pic:spPr>
                </pic:pic>
              </a:graphicData>
            </a:graphic>
          </wp:anchor>
        </w:drawing>
      </w:r>
    </w:p>
    <w:p w:rsidR="00120400" w:rsidRDefault="002B5D4D">
      <w:pPr>
        <w:spacing w:line="239" w:lineRule="auto"/>
        <w:ind w:right="20"/>
        <w:rPr>
          <w:sz w:val="20"/>
          <w:szCs w:val="20"/>
        </w:rPr>
      </w:pPr>
      <w:r>
        <w:rPr>
          <w:rFonts w:ascii="Cambria" w:eastAsia="Cambria" w:hAnsi="Cambria" w:cs="Cambria"/>
          <w:sz w:val="26"/>
          <w:szCs w:val="26"/>
        </w:rPr>
        <w:t>Výsledný počet bodů za ústní část je číslo, které vyjde vynásobením koeficientu a původního počt</w:t>
      </w:r>
      <w:r>
        <w:rPr>
          <w:rFonts w:ascii="Cambria" w:eastAsia="Cambria" w:hAnsi="Cambria" w:cs="Cambria"/>
          <w:sz w:val="26"/>
          <w:szCs w:val="26"/>
        </w:rPr>
        <w:t>u bodů dle předchozí věty.</w:t>
      </w:r>
    </w:p>
    <w:p w:rsidR="00120400" w:rsidRDefault="00120400">
      <w:pPr>
        <w:spacing w:line="1" w:lineRule="exact"/>
        <w:rPr>
          <w:sz w:val="20"/>
          <w:szCs w:val="20"/>
        </w:rPr>
      </w:pPr>
    </w:p>
    <w:p w:rsidR="00120400" w:rsidRDefault="002B5D4D">
      <w:pPr>
        <w:ind w:left="700"/>
        <w:rPr>
          <w:sz w:val="20"/>
          <w:szCs w:val="20"/>
        </w:rPr>
      </w:pPr>
      <w:r>
        <w:rPr>
          <w:rFonts w:ascii="Cambria" w:eastAsia="Cambria" w:hAnsi="Cambria" w:cs="Cambria"/>
          <w:sz w:val="26"/>
          <w:szCs w:val="26"/>
        </w:rPr>
        <w:t>Pro určení pořadí, ve kterém se jednotlivé týmy umístily, se postupuje</w:t>
      </w:r>
    </w:p>
    <w:p w:rsidR="00120400" w:rsidRDefault="002B5D4D">
      <w:pPr>
        <w:rPr>
          <w:sz w:val="20"/>
          <w:szCs w:val="20"/>
        </w:rPr>
      </w:pPr>
      <w:r>
        <w:rPr>
          <w:rFonts w:ascii="Cambria" w:eastAsia="Cambria" w:hAnsi="Cambria" w:cs="Cambria"/>
          <w:sz w:val="26"/>
          <w:szCs w:val="26"/>
        </w:rPr>
        <w:t>takto:</w:t>
      </w:r>
    </w:p>
    <w:p w:rsidR="00120400" w:rsidRDefault="00120400">
      <w:pPr>
        <w:spacing w:line="2" w:lineRule="exact"/>
        <w:rPr>
          <w:sz w:val="20"/>
          <w:szCs w:val="20"/>
        </w:rPr>
      </w:pPr>
    </w:p>
    <w:p w:rsidR="00120400" w:rsidRDefault="002B5D4D">
      <w:pPr>
        <w:numPr>
          <w:ilvl w:val="0"/>
          <w:numId w:val="3"/>
        </w:numPr>
        <w:tabs>
          <w:tab w:val="left" w:pos="720"/>
        </w:tabs>
        <w:spacing w:line="238" w:lineRule="auto"/>
        <w:ind w:left="720" w:right="20" w:hanging="364"/>
        <w:jc w:val="both"/>
        <w:rPr>
          <w:rFonts w:ascii="Cambria" w:eastAsia="Cambria" w:hAnsi="Cambria" w:cs="Cambria"/>
          <w:sz w:val="26"/>
          <w:szCs w:val="26"/>
        </w:rPr>
      </w:pPr>
      <w:r>
        <w:rPr>
          <w:rFonts w:ascii="Cambria" w:eastAsia="Cambria" w:hAnsi="Cambria" w:cs="Cambria"/>
          <w:sz w:val="26"/>
          <w:szCs w:val="26"/>
        </w:rPr>
        <w:t xml:space="preserve">Z obou pokusů v ústní části soutěže se pro každý tým vypočítá bodový průměr za ústní část; pokud tým prezentoval pouze jednou, započtou se mu </w:t>
      </w:r>
      <w:r>
        <w:rPr>
          <w:rFonts w:ascii="Cambria" w:eastAsia="Cambria" w:hAnsi="Cambria" w:cs="Cambria"/>
          <w:sz w:val="26"/>
          <w:szCs w:val="26"/>
        </w:rPr>
        <w:t>tyto body</w:t>
      </w:r>
    </w:p>
    <w:p w:rsidR="00120400" w:rsidRDefault="00120400">
      <w:pPr>
        <w:spacing w:line="1" w:lineRule="exact"/>
        <w:rPr>
          <w:rFonts w:ascii="Cambria" w:eastAsia="Cambria" w:hAnsi="Cambria" w:cs="Cambria"/>
          <w:sz w:val="26"/>
          <w:szCs w:val="26"/>
        </w:rPr>
      </w:pPr>
    </w:p>
    <w:p w:rsidR="00120400" w:rsidRDefault="002B5D4D">
      <w:pPr>
        <w:numPr>
          <w:ilvl w:val="0"/>
          <w:numId w:val="3"/>
        </w:numPr>
        <w:tabs>
          <w:tab w:val="left" w:pos="720"/>
        </w:tabs>
        <w:ind w:left="720" w:hanging="364"/>
        <w:rPr>
          <w:rFonts w:ascii="Cambria" w:eastAsia="Cambria" w:hAnsi="Cambria" w:cs="Cambria"/>
          <w:sz w:val="26"/>
          <w:szCs w:val="26"/>
        </w:rPr>
      </w:pPr>
      <w:r>
        <w:rPr>
          <w:rFonts w:ascii="Cambria" w:eastAsia="Cambria" w:hAnsi="Cambria" w:cs="Cambria"/>
          <w:sz w:val="26"/>
          <w:szCs w:val="26"/>
        </w:rPr>
        <w:t>Tento průměr za ústní část se sečte s body za písemnou část.</w:t>
      </w:r>
    </w:p>
    <w:p w:rsidR="00120400" w:rsidRDefault="002B5D4D">
      <w:pPr>
        <w:numPr>
          <w:ilvl w:val="0"/>
          <w:numId w:val="3"/>
        </w:numPr>
        <w:tabs>
          <w:tab w:val="left" w:pos="720"/>
        </w:tabs>
        <w:ind w:left="720" w:hanging="364"/>
        <w:rPr>
          <w:rFonts w:ascii="Cambria" w:eastAsia="Cambria" w:hAnsi="Cambria" w:cs="Cambria"/>
          <w:sz w:val="26"/>
          <w:szCs w:val="26"/>
        </w:rPr>
      </w:pPr>
      <w:r>
        <w:rPr>
          <w:rFonts w:ascii="Cambria" w:eastAsia="Cambria" w:hAnsi="Cambria" w:cs="Cambria"/>
          <w:sz w:val="26"/>
          <w:szCs w:val="26"/>
        </w:rPr>
        <w:t>Na základě výsledných bodů se sestaví pořadí týmů.</w:t>
      </w:r>
    </w:p>
    <w:p w:rsidR="00120400" w:rsidRDefault="002B5D4D">
      <w:pPr>
        <w:numPr>
          <w:ilvl w:val="0"/>
          <w:numId w:val="3"/>
        </w:numPr>
        <w:tabs>
          <w:tab w:val="left" w:pos="720"/>
        </w:tabs>
        <w:ind w:left="720" w:hanging="364"/>
        <w:rPr>
          <w:rFonts w:ascii="Cambria" w:eastAsia="Cambria" w:hAnsi="Cambria" w:cs="Cambria"/>
          <w:sz w:val="26"/>
          <w:szCs w:val="26"/>
        </w:rPr>
      </w:pPr>
      <w:r>
        <w:rPr>
          <w:rFonts w:ascii="Cambria" w:eastAsia="Cambria" w:hAnsi="Cambria" w:cs="Cambria"/>
          <w:sz w:val="26"/>
          <w:szCs w:val="26"/>
        </w:rPr>
        <w:t>Do finále postupují dva týmy s nejvyšším počtem dosažených bodů.</w:t>
      </w:r>
    </w:p>
    <w:p w:rsidR="00120400" w:rsidRDefault="00120400">
      <w:pPr>
        <w:spacing w:line="1" w:lineRule="exact"/>
        <w:rPr>
          <w:rFonts w:ascii="Cambria" w:eastAsia="Cambria" w:hAnsi="Cambria" w:cs="Cambria"/>
          <w:sz w:val="26"/>
          <w:szCs w:val="26"/>
        </w:rPr>
      </w:pPr>
    </w:p>
    <w:p w:rsidR="00120400" w:rsidRDefault="002B5D4D">
      <w:pPr>
        <w:numPr>
          <w:ilvl w:val="0"/>
          <w:numId w:val="3"/>
        </w:numPr>
        <w:tabs>
          <w:tab w:val="left" w:pos="720"/>
        </w:tabs>
        <w:spacing w:line="239" w:lineRule="auto"/>
        <w:ind w:left="720" w:right="20" w:hanging="364"/>
        <w:rPr>
          <w:rFonts w:ascii="Cambria" w:eastAsia="Cambria" w:hAnsi="Cambria" w:cs="Cambria"/>
          <w:sz w:val="26"/>
          <w:szCs w:val="26"/>
        </w:rPr>
      </w:pPr>
      <w:r>
        <w:rPr>
          <w:rFonts w:ascii="Cambria" w:eastAsia="Cambria" w:hAnsi="Cambria" w:cs="Cambria"/>
          <w:sz w:val="26"/>
          <w:szCs w:val="26"/>
        </w:rPr>
        <w:t xml:space="preserve">Ve finále soudci hodnotí přednesy týmů bez ohledu na to, jaký </w:t>
      </w:r>
      <w:r>
        <w:rPr>
          <w:rFonts w:ascii="Cambria" w:eastAsia="Cambria" w:hAnsi="Cambria" w:cs="Cambria"/>
          <w:sz w:val="26"/>
          <w:szCs w:val="26"/>
        </w:rPr>
        <w:t>výkon podali v předcházejícím kole.</w:t>
      </w:r>
    </w:p>
    <w:p w:rsidR="00120400" w:rsidRDefault="00120400">
      <w:pPr>
        <w:spacing w:line="2" w:lineRule="exact"/>
        <w:rPr>
          <w:rFonts w:ascii="Cambria" w:eastAsia="Cambria" w:hAnsi="Cambria" w:cs="Cambria"/>
          <w:sz w:val="26"/>
          <w:szCs w:val="26"/>
        </w:rPr>
      </w:pPr>
    </w:p>
    <w:p w:rsidR="00120400" w:rsidRDefault="002B5D4D">
      <w:pPr>
        <w:numPr>
          <w:ilvl w:val="0"/>
          <w:numId w:val="3"/>
        </w:numPr>
        <w:tabs>
          <w:tab w:val="left" w:pos="720"/>
        </w:tabs>
        <w:spacing w:line="239" w:lineRule="auto"/>
        <w:ind w:left="720" w:right="20" w:hanging="364"/>
        <w:rPr>
          <w:rFonts w:ascii="Cambria" w:eastAsia="Cambria" w:hAnsi="Cambria" w:cs="Cambria"/>
          <w:sz w:val="26"/>
          <w:szCs w:val="26"/>
        </w:rPr>
      </w:pPr>
      <w:r>
        <w:rPr>
          <w:rFonts w:ascii="Cambria" w:eastAsia="Cambria" w:hAnsi="Cambria" w:cs="Cambria"/>
          <w:sz w:val="26"/>
          <w:szCs w:val="26"/>
        </w:rPr>
        <w:t>Podle toho, který z týmů ve finále naplnil lépe výše uvedená kritéria, se určí vítěz soutěže.</w:t>
      </w:r>
    </w:p>
    <w:p w:rsidR="00120400" w:rsidRDefault="00120400">
      <w:pPr>
        <w:spacing w:line="310" w:lineRule="exact"/>
        <w:rPr>
          <w:sz w:val="20"/>
          <w:szCs w:val="20"/>
        </w:rPr>
      </w:pPr>
    </w:p>
    <w:p w:rsidR="00120400" w:rsidRDefault="002B5D4D">
      <w:pPr>
        <w:rPr>
          <w:sz w:val="20"/>
          <w:szCs w:val="20"/>
        </w:rPr>
      </w:pPr>
      <w:r>
        <w:rPr>
          <w:rFonts w:ascii="Cambria" w:eastAsia="Cambria" w:hAnsi="Cambria" w:cs="Cambria"/>
          <w:b/>
          <w:bCs/>
          <w:sz w:val="28"/>
          <w:szCs w:val="28"/>
        </w:rPr>
        <w:t>Zpětná vazba od soudců ústní části soutěže</w:t>
      </w:r>
    </w:p>
    <w:p w:rsidR="00120400" w:rsidRDefault="002B5D4D">
      <w:pPr>
        <w:spacing w:line="239" w:lineRule="auto"/>
        <w:jc w:val="both"/>
        <w:rPr>
          <w:sz w:val="20"/>
          <w:szCs w:val="20"/>
        </w:rPr>
      </w:pPr>
      <w:r>
        <w:rPr>
          <w:rFonts w:ascii="Cambria" w:eastAsia="Cambria" w:hAnsi="Cambria" w:cs="Cambria"/>
          <w:sz w:val="26"/>
          <w:szCs w:val="26"/>
        </w:rPr>
        <w:t>V rámci ústní části soutěže poskytnou soudci týmům zpětnou vazbu, a to po ukončen</w:t>
      </w:r>
      <w:r>
        <w:rPr>
          <w:rFonts w:ascii="Cambria" w:eastAsia="Cambria" w:hAnsi="Cambria" w:cs="Cambria"/>
          <w:sz w:val="26"/>
          <w:szCs w:val="26"/>
        </w:rPr>
        <w:t>í přednesu posledního z týmů v prvním kole. V rámci této zpětné vazby soudci sdělí týmu jeho hodnocení v rámci kategorií (pozn. kategoriemi rozumíme tyto kategorie: právní argumentace, prezentační dovednosti a týmová spolupráce, a celkový dojem ústní preze</w:t>
      </w:r>
      <w:r>
        <w:rPr>
          <w:rFonts w:ascii="Cambria" w:eastAsia="Cambria" w:hAnsi="Cambria" w:cs="Cambria"/>
          <w:sz w:val="26"/>
          <w:szCs w:val="26"/>
        </w:rPr>
        <w:t>ntace) a s ohledem na kritéria popsaná výše. Soudci se soustředí na hodnocení výkonu týmu v soutěži. Soudci mohou kromě dovednostní části podat soutěžícím zpětnou vazbu také k jejich právní argumentaci, a to i velmi podrobně. Soudci mohou soutěžícím sdělit</w:t>
      </w:r>
      <w:r>
        <w:rPr>
          <w:rFonts w:ascii="Cambria" w:eastAsia="Cambria" w:hAnsi="Cambria" w:cs="Cambria"/>
          <w:sz w:val="26"/>
          <w:szCs w:val="26"/>
        </w:rPr>
        <w:t>, jak by sami rozhodli, které argumenty soutěžících považovali za slabé, či naopak silné, v čem udělali soutěžící právní chyby, či chybně použili či pochopili zdroj.</w:t>
      </w:r>
    </w:p>
    <w:p w:rsidR="00120400" w:rsidRDefault="002B5D4D">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4784725</wp:posOffset>
            </wp:positionH>
            <wp:positionV relativeFrom="paragraph">
              <wp:posOffset>3482340</wp:posOffset>
            </wp:positionV>
            <wp:extent cx="1628775" cy="9163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blip>
                    <a:srcRect/>
                    <a:stretch>
                      <a:fillRect/>
                    </a:stretch>
                  </pic:blipFill>
                  <pic:spPr bwMode="auto">
                    <a:xfrm>
                      <a:off x="0" y="0"/>
                      <a:ext cx="1628775" cy="916305"/>
                    </a:xfrm>
                    <a:prstGeom prst="rect">
                      <a:avLst/>
                    </a:prstGeom>
                    <a:noFill/>
                  </pic:spPr>
                </pic:pic>
              </a:graphicData>
            </a:graphic>
          </wp:anchor>
        </w:drawing>
      </w:r>
    </w:p>
    <w:sectPr w:rsidR="00120400">
      <w:pgSz w:w="11900" w:h="16840"/>
      <w:pgMar w:top="1440" w:right="1405" w:bottom="1440" w:left="1420" w:header="0" w:footer="0" w:gutter="0"/>
      <w:cols w:space="708" w:equalWidth="0">
        <w:col w:w="9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5B123DEC"/>
    <w:lvl w:ilvl="0" w:tplc="02F0329E">
      <w:start w:val="1"/>
      <w:numFmt w:val="decimal"/>
      <w:lvlText w:val="%1."/>
      <w:lvlJc w:val="left"/>
    </w:lvl>
    <w:lvl w:ilvl="1" w:tplc="68948D12">
      <w:numFmt w:val="decimal"/>
      <w:lvlText w:val=""/>
      <w:lvlJc w:val="left"/>
    </w:lvl>
    <w:lvl w:ilvl="2" w:tplc="7D242D16">
      <w:numFmt w:val="decimal"/>
      <w:lvlText w:val=""/>
      <w:lvlJc w:val="left"/>
    </w:lvl>
    <w:lvl w:ilvl="3" w:tplc="298EBBC6">
      <w:numFmt w:val="decimal"/>
      <w:lvlText w:val=""/>
      <w:lvlJc w:val="left"/>
    </w:lvl>
    <w:lvl w:ilvl="4" w:tplc="2C285058">
      <w:numFmt w:val="decimal"/>
      <w:lvlText w:val=""/>
      <w:lvlJc w:val="left"/>
    </w:lvl>
    <w:lvl w:ilvl="5" w:tplc="93FE0D40">
      <w:numFmt w:val="decimal"/>
      <w:lvlText w:val=""/>
      <w:lvlJc w:val="left"/>
    </w:lvl>
    <w:lvl w:ilvl="6" w:tplc="91666B6E">
      <w:numFmt w:val="decimal"/>
      <w:lvlText w:val=""/>
      <w:lvlJc w:val="left"/>
    </w:lvl>
    <w:lvl w:ilvl="7" w:tplc="C18CB288">
      <w:numFmt w:val="decimal"/>
      <w:lvlText w:val=""/>
      <w:lvlJc w:val="left"/>
    </w:lvl>
    <w:lvl w:ilvl="8" w:tplc="BA365576">
      <w:numFmt w:val="decimal"/>
      <w:lvlText w:val=""/>
      <w:lvlJc w:val="left"/>
    </w:lvl>
  </w:abstractNum>
  <w:abstractNum w:abstractNumId="1" w15:restartNumberingAfterBreak="0">
    <w:nsid w:val="66334873"/>
    <w:multiLevelType w:val="hybridMultilevel"/>
    <w:tmpl w:val="36A4A0C8"/>
    <w:lvl w:ilvl="0" w:tplc="B074DDCC">
      <w:start w:val="1"/>
      <w:numFmt w:val="decimal"/>
      <w:lvlText w:val="%1."/>
      <w:lvlJc w:val="left"/>
    </w:lvl>
    <w:lvl w:ilvl="1" w:tplc="96D4C478">
      <w:numFmt w:val="decimal"/>
      <w:lvlText w:val=""/>
      <w:lvlJc w:val="left"/>
    </w:lvl>
    <w:lvl w:ilvl="2" w:tplc="E00A6CDE">
      <w:numFmt w:val="decimal"/>
      <w:lvlText w:val=""/>
      <w:lvlJc w:val="left"/>
    </w:lvl>
    <w:lvl w:ilvl="3" w:tplc="EBC225C4">
      <w:numFmt w:val="decimal"/>
      <w:lvlText w:val=""/>
      <w:lvlJc w:val="left"/>
    </w:lvl>
    <w:lvl w:ilvl="4" w:tplc="37DC56CC">
      <w:numFmt w:val="decimal"/>
      <w:lvlText w:val=""/>
      <w:lvlJc w:val="left"/>
    </w:lvl>
    <w:lvl w:ilvl="5" w:tplc="5A32C58A">
      <w:numFmt w:val="decimal"/>
      <w:lvlText w:val=""/>
      <w:lvlJc w:val="left"/>
    </w:lvl>
    <w:lvl w:ilvl="6" w:tplc="D6A65D3A">
      <w:numFmt w:val="decimal"/>
      <w:lvlText w:val=""/>
      <w:lvlJc w:val="left"/>
    </w:lvl>
    <w:lvl w:ilvl="7" w:tplc="048270E8">
      <w:numFmt w:val="decimal"/>
      <w:lvlText w:val=""/>
      <w:lvlJc w:val="left"/>
    </w:lvl>
    <w:lvl w:ilvl="8" w:tplc="0D98C7C2">
      <w:numFmt w:val="decimal"/>
      <w:lvlText w:val=""/>
      <w:lvlJc w:val="left"/>
    </w:lvl>
  </w:abstractNum>
  <w:abstractNum w:abstractNumId="2" w15:restartNumberingAfterBreak="0">
    <w:nsid w:val="74B0DC51"/>
    <w:multiLevelType w:val="hybridMultilevel"/>
    <w:tmpl w:val="EB7A60E8"/>
    <w:lvl w:ilvl="0" w:tplc="08EEE0B6">
      <w:start w:val="1"/>
      <w:numFmt w:val="bullet"/>
      <w:lvlText w:val="…"/>
      <w:lvlJc w:val="left"/>
    </w:lvl>
    <w:lvl w:ilvl="1" w:tplc="42FAD6D8">
      <w:numFmt w:val="decimal"/>
      <w:lvlText w:val=""/>
      <w:lvlJc w:val="left"/>
    </w:lvl>
    <w:lvl w:ilvl="2" w:tplc="A0B616F0">
      <w:numFmt w:val="decimal"/>
      <w:lvlText w:val=""/>
      <w:lvlJc w:val="left"/>
    </w:lvl>
    <w:lvl w:ilvl="3" w:tplc="7D92E5F8">
      <w:numFmt w:val="decimal"/>
      <w:lvlText w:val=""/>
      <w:lvlJc w:val="left"/>
    </w:lvl>
    <w:lvl w:ilvl="4" w:tplc="F232EF68">
      <w:numFmt w:val="decimal"/>
      <w:lvlText w:val=""/>
      <w:lvlJc w:val="left"/>
    </w:lvl>
    <w:lvl w:ilvl="5" w:tplc="21A88542">
      <w:numFmt w:val="decimal"/>
      <w:lvlText w:val=""/>
      <w:lvlJc w:val="left"/>
    </w:lvl>
    <w:lvl w:ilvl="6" w:tplc="ABB26016">
      <w:numFmt w:val="decimal"/>
      <w:lvlText w:val=""/>
      <w:lvlJc w:val="left"/>
    </w:lvl>
    <w:lvl w:ilvl="7" w:tplc="8174AC28">
      <w:numFmt w:val="decimal"/>
      <w:lvlText w:val=""/>
      <w:lvlJc w:val="left"/>
    </w:lvl>
    <w:lvl w:ilvl="8" w:tplc="2BF0E4AC">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400"/>
    <w:rsid w:val="00120400"/>
    <w:rsid w:val="002B5D4D"/>
    <w:rsid w:val="00D0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3098"/>
  <w15:docId w15:val="{06B84E7E-8BB9-4DB5-84AC-9A803DD0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2423</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Kohl</cp:lastModifiedBy>
  <cp:revision>3</cp:revision>
  <dcterms:created xsi:type="dcterms:W3CDTF">2019-04-03T06:14:00Z</dcterms:created>
  <dcterms:modified xsi:type="dcterms:W3CDTF">2019-04-03T10:26:00Z</dcterms:modified>
</cp:coreProperties>
</file>