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4" w:rsidRPr="00F02342" w:rsidRDefault="005D6614" w:rsidP="005D6614">
      <w:pPr>
        <w:jc w:val="center"/>
        <w:rPr>
          <w:b/>
          <w:sz w:val="28"/>
          <w:szCs w:val="28"/>
        </w:rPr>
      </w:pPr>
      <w:r w:rsidRPr="00F02342">
        <w:rPr>
          <w:b/>
          <w:sz w:val="28"/>
          <w:szCs w:val="28"/>
        </w:rPr>
        <w:t xml:space="preserve">Zápis ze zasedání Ediční komise Právnické fakulty Univerzity Palackého v Olomouci dne </w:t>
      </w:r>
      <w:proofErr w:type="gramStart"/>
      <w:r w:rsidRPr="00F0234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11</w:t>
      </w:r>
      <w:r w:rsidRPr="00F02342">
        <w:rPr>
          <w:b/>
          <w:sz w:val="28"/>
          <w:szCs w:val="28"/>
        </w:rPr>
        <w:t>.2016</w:t>
      </w:r>
      <w:bookmarkStart w:id="0" w:name="_GoBack"/>
      <w:bookmarkEnd w:id="0"/>
      <w:proofErr w:type="gramEnd"/>
    </w:p>
    <w:p w:rsidR="005D6614" w:rsidRPr="004A7138" w:rsidRDefault="005D6614" w:rsidP="005D6614">
      <w:r w:rsidRPr="00F02342">
        <w:rPr>
          <w:b/>
        </w:rPr>
        <w:t>Přítomni</w:t>
      </w:r>
      <w:r>
        <w:t xml:space="preserve">: doc. </w:t>
      </w:r>
      <w:proofErr w:type="spellStart"/>
      <w:r>
        <w:t>JUDr</w:t>
      </w:r>
      <w:proofErr w:type="spellEnd"/>
      <w:r>
        <w:t xml:space="preserve">, Blanka Vítová, Ph.D., </w:t>
      </w:r>
      <w:proofErr w:type="gramStart"/>
      <w:r>
        <w:t>LL.M.</w:t>
      </w:r>
      <w:proofErr w:type="gramEnd"/>
      <w:r>
        <w:t xml:space="preserve">, JUDr. Kamila </w:t>
      </w:r>
      <w:proofErr w:type="spellStart"/>
      <w:r>
        <w:t>Bubelová</w:t>
      </w:r>
      <w:proofErr w:type="spellEnd"/>
      <w:r>
        <w:t xml:space="preserve">, Ph.D., Mgr. Leona Černá, doc. PhDr. Vlastimil Fiala, CSc., doc. JUDr. Jiří Jirásek, CSc., doc. JUDr. Václav Stehlík, Ph.D., LL.M.,  </w:t>
      </w:r>
      <w:r w:rsidRPr="004A7138">
        <w:t xml:space="preserve">JUDr. Veronika </w:t>
      </w:r>
      <w:proofErr w:type="spellStart"/>
      <w:r w:rsidRPr="004A7138">
        <w:t>Tomoszková</w:t>
      </w:r>
      <w:proofErr w:type="spellEnd"/>
      <w:r w:rsidRPr="004A7138">
        <w:t xml:space="preserve">, Ph.D., </w:t>
      </w:r>
      <w:r w:rsidR="004A7138" w:rsidRPr="004A7138">
        <w:t xml:space="preserve">Doc. JUDr. Kateřina </w:t>
      </w:r>
      <w:proofErr w:type="spellStart"/>
      <w:r w:rsidR="004A7138" w:rsidRPr="004A7138">
        <w:t>Frumarová</w:t>
      </w:r>
      <w:proofErr w:type="spellEnd"/>
      <w:r w:rsidR="004A7138" w:rsidRPr="004A7138">
        <w:t xml:space="preserve">, Ph.D., </w:t>
      </w:r>
      <w:r w:rsidRPr="004A7138">
        <w:t xml:space="preserve">Lukáš </w:t>
      </w:r>
      <w:proofErr w:type="spellStart"/>
      <w:r w:rsidRPr="004A7138">
        <w:t>Walek</w:t>
      </w:r>
      <w:proofErr w:type="spellEnd"/>
    </w:p>
    <w:p w:rsidR="005D6614" w:rsidRDefault="005D6614" w:rsidP="005D6614">
      <w:r w:rsidRPr="00F02342">
        <w:rPr>
          <w:b/>
        </w:rPr>
        <w:t>Omluveni</w:t>
      </w:r>
      <w:r>
        <w:t>: prof. JUDr. Jiří Jelínek, CSc. (omluven JUDr. Zdeňkem Kopečným), prof. JUDr. Ivo Telec, CSc.</w:t>
      </w:r>
    </w:p>
    <w:p w:rsidR="005D6614" w:rsidRDefault="005D6614" w:rsidP="005D6614">
      <w:pPr>
        <w:jc w:val="both"/>
      </w:pPr>
      <w:r>
        <w:t>Proděkanka B. Vítová přivítala členy Ediční komise (EK) a přítomné hosty a dle preze</w:t>
      </w:r>
      <w:r w:rsidR="0003356F">
        <w:t>nční listiny prohlásila komisi z</w:t>
      </w:r>
      <w:r>
        <w:t>a usnášeníschopnou.</w:t>
      </w:r>
    </w:p>
    <w:p w:rsidR="005D6614" w:rsidRPr="009C3C76" w:rsidRDefault="005D6614" w:rsidP="005D6614">
      <w:pPr>
        <w:jc w:val="both"/>
        <w:rPr>
          <w:i/>
        </w:rPr>
      </w:pPr>
      <w:r w:rsidRPr="00FF7B62">
        <w:rPr>
          <w:i/>
        </w:rPr>
        <w:t>Jednotlivé body jednání dle v pozvánce navrženého programu:</w:t>
      </w:r>
    </w:p>
    <w:p w:rsidR="005D6614" w:rsidRDefault="005D6614" w:rsidP="005D661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Doplnění Edičního plánu FP UP v roce 2013</w:t>
      </w:r>
    </w:p>
    <w:p w:rsidR="005D6614" w:rsidRDefault="0003356F" w:rsidP="005D6614">
      <w:r>
        <w:t>Do EP byly odůvodněně</w:t>
      </w:r>
      <w:r w:rsidR="005D6614">
        <w:t xml:space="preserve"> (předkládajícími vedoucími kateder) dodatečně zařazeny publikace:</w:t>
      </w:r>
    </w:p>
    <w:p w:rsidR="005D6614" w:rsidRDefault="005D6614" w:rsidP="005D6614">
      <w:pPr>
        <w:pStyle w:val="Odstavecseseznamem"/>
        <w:numPr>
          <w:ilvl w:val="0"/>
          <w:numId w:val="2"/>
        </w:numPr>
      </w:pPr>
      <w:proofErr w:type="spellStart"/>
      <w:r>
        <w:t>Gonsiorová</w:t>
      </w:r>
      <w:proofErr w:type="spellEnd"/>
      <w:r>
        <w:t xml:space="preserve">, Barbora. Udělování státního občanství České </w:t>
      </w:r>
      <w:proofErr w:type="gramStart"/>
      <w:r>
        <w:t>republiky  (monografie</w:t>
      </w:r>
      <w:proofErr w:type="gramEnd"/>
      <w:r>
        <w:t>, VUP)</w:t>
      </w:r>
    </w:p>
    <w:p w:rsidR="005D6614" w:rsidRDefault="005D6614" w:rsidP="005D6614">
      <w:pPr>
        <w:pStyle w:val="Odstavecseseznamem"/>
        <w:numPr>
          <w:ilvl w:val="0"/>
          <w:numId w:val="2"/>
        </w:numPr>
      </w:pPr>
      <w:proofErr w:type="spellStart"/>
      <w:r>
        <w:t>Špírková</w:t>
      </w:r>
      <w:proofErr w:type="spellEnd"/>
      <w:r>
        <w:t>, Taťána. Daňová kontrola z pohledu základních zásad daňového řízení (monografie, VUP)</w:t>
      </w:r>
    </w:p>
    <w:p w:rsidR="008A0D21" w:rsidRDefault="005D6614" w:rsidP="008A0D21">
      <w:pPr>
        <w:pStyle w:val="Odstavecseseznamem"/>
        <w:numPr>
          <w:ilvl w:val="0"/>
          <w:numId w:val="2"/>
        </w:numPr>
      </w:pPr>
      <w:proofErr w:type="spellStart"/>
      <w:r>
        <w:t>Madleňáková</w:t>
      </w:r>
      <w:proofErr w:type="spellEnd"/>
      <w:r>
        <w:t xml:space="preserve">, Lucia. </w:t>
      </w:r>
      <w:proofErr w:type="spellStart"/>
      <w:r>
        <w:t>Správněprávní</w:t>
      </w:r>
      <w:proofErr w:type="spellEnd"/>
      <w:r>
        <w:t xml:space="preserve"> aspekty </w:t>
      </w:r>
      <w:proofErr w:type="spellStart"/>
      <w:r>
        <w:t>vznku</w:t>
      </w:r>
      <w:proofErr w:type="spellEnd"/>
      <w:r>
        <w:t xml:space="preserve"> a činnosti církví a náboženských společností (monografie, </w:t>
      </w:r>
      <w:proofErr w:type="spellStart"/>
      <w:r>
        <w:t>Leges</w:t>
      </w:r>
      <w:proofErr w:type="spellEnd"/>
      <w:r>
        <w:t>)</w:t>
      </w:r>
    </w:p>
    <w:p w:rsidR="005D6614" w:rsidRPr="008A0D21" w:rsidRDefault="0003356F" w:rsidP="008A0D21">
      <w:pPr>
        <w:pStyle w:val="Odstavecseseznamem"/>
        <w:numPr>
          <w:ilvl w:val="0"/>
          <w:numId w:val="2"/>
        </w:numPr>
      </w:pPr>
      <w:proofErr w:type="spellStart"/>
      <w:r w:rsidRPr="008A0D21">
        <w:rPr>
          <w:rStyle w:val="il"/>
          <w:rFonts w:ascii="Calibri" w:hAnsi="Calibri"/>
          <w:shd w:val="clear" w:color="auto" w:fill="FFFFFF"/>
        </w:rPr>
        <w:t>Malacka</w:t>
      </w:r>
      <w:proofErr w:type="spellEnd"/>
      <w:r w:rsidRPr="008A0D21">
        <w:rPr>
          <w:rFonts w:ascii="Calibri" w:hAnsi="Calibri"/>
          <w:shd w:val="clear" w:color="auto" w:fill="FFFFFF"/>
        </w:rPr>
        <w:t xml:space="preserve">, M., a kol.: Mediace dnes - realita a perspektivy, </w:t>
      </w:r>
      <w:proofErr w:type="spellStart"/>
      <w:r w:rsidRPr="008A0D21">
        <w:rPr>
          <w:rFonts w:ascii="Calibri" w:hAnsi="Calibri"/>
          <w:shd w:val="clear" w:color="auto" w:fill="FFFFFF"/>
        </w:rPr>
        <w:t>Leges</w:t>
      </w:r>
      <w:proofErr w:type="spellEnd"/>
      <w:r w:rsidRPr="008A0D21">
        <w:rPr>
          <w:rFonts w:ascii="Calibri" w:hAnsi="Calibri"/>
          <w:shd w:val="clear" w:color="auto" w:fill="FFFFFF"/>
        </w:rPr>
        <w:t xml:space="preserve"> 2016</w:t>
      </w:r>
      <w:r w:rsidR="008A0D21" w:rsidRPr="008A0D21">
        <w:rPr>
          <w:rFonts w:ascii="Calibri" w:hAnsi="Calibri"/>
          <w:shd w:val="clear" w:color="auto" w:fill="FFFFFF"/>
        </w:rPr>
        <w:t xml:space="preserve"> (tisk této publikace má nahradit původně plánovaný tisk publikace Stehlík, V. </w:t>
      </w:r>
      <w:proofErr w:type="spellStart"/>
      <w:r w:rsidR="008A0D21" w:rsidRPr="008A0D21">
        <w:rPr>
          <w:rFonts w:ascii="Calibri" w:hAnsi="Calibri"/>
          <w:shd w:val="clear" w:color="auto" w:fill="FFFFFF"/>
        </w:rPr>
        <w:t>ed</w:t>
      </w:r>
      <w:proofErr w:type="spellEnd"/>
      <w:r w:rsidR="008A0D21" w:rsidRPr="008A0D21">
        <w:rPr>
          <w:rFonts w:ascii="Calibri" w:hAnsi="Calibri"/>
          <w:shd w:val="clear" w:color="auto" w:fill="FFFFFF"/>
        </w:rPr>
        <w:t>.: Sborník ze sekce MEP – OPD, sborník, září 2016, Vydavatelství UP, požaduji příspěvek fakulty, 100 s.)</w:t>
      </w:r>
    </w:p>
    <w:p w:rsidR="008A0D21" w:rsidRDefault="008A0D21" w:rsidP="005D6614">
      <w:pPr>
        <w:pStyle w:val="Odstavecseseznamem"/>
      </w:pPr>
    </w:p>
    <w:p w:rsidR="005D6614" w:rsidRPr="006C13DF" w:rsidRDefault="005D6614" w:rsidP="005D6614">
      <w:pPr>
        <w:pStyle w:val="Odstavecseseznamem"/>
        <w:numPr>
          <w:ilvl w:val="0"/>
          <w:numId w:val="1"/>
        </w:numPr>
        <w:rPr>
          <w:b/>
        </w:rPr>
      </w:pPr>
      <w:r w:rsidRPr="006C13DF">
        <w:rPr>
          <w:b/>
        </w:rPr>
        <w:t>Individuální žádosti k úpravě bodového hodnocení dle Směrnice děkanky 1/2014</w:t>
      </w:r>
    </w:p>
    <w:p w:rsidR="008A0D21" w:rsidRPr="0025439D" w:rsidRDefault="008A0D21" w:rsidP="008A0D21">
      <w:pPr>
        <w:pStyle w:val="Odstavecseseznamem"/>
        <w:numPr>
          <w:ilvl w:val="1"/>
          <w:numId w:val="1"/>
        </w:numPr>
        <w:rPr>
          <w:i/>
        </w:rPr>
      </w:pPr>
      <w:r>
        <w:t xml:space="preserve">doc. Naděžda Šišková - žádost o navýšení bodů za článek v časopise </w:t>
      </w:r>
      <w:proofErr w:type="spellStart"/>
      <w:r>
        <w:t>Danube</w:t>
      </w:r>
      <w:proofErr w:type="spellEnd"/>
      <w:r>
        <w:t>, rok uplatnění 2013 (</w:t>
      </w:r>
      <w:r w:rsidRPr="0025439D">
        <w:t xml:space="preserve">ŠIŠKOVÁ, N. </w:t>
      </w:r>
      <w:proofErr w:type="spellStart"/>
      <w:r w:rsidRPr="0025439D">
        <w:t>The</w:t>
      </w:r>
      <w:proofErr w:type="spellEnd"/>
      <w:r w:rsidRPr="0025439D">
        <w:t xml:space="preserve"> </w:t>
      </w:r>
      <w:proofErr w:type="spellStart"/>
      <w:r w:rsidRPr="0025439D">
        <w:t>Impact</w:t>
      </w:r>
      <w:proofErr w:type="spellEnd"/>
      <w:r w:rsidRPr="0025439D">
        <w:t xml:space="preserve"> </w:t>
      </w:r>
      <w:proofErr w:type="spellStart"/>
      <w:r w:rsidRPr="0025439D">
        <w:t>of</w:t>
      </w:r>
      <w:proofErr w:type="spellEnd"/>
      <w:r w:rsidRPr="0025439D">
        <w:t xml:space="preserve"> </w:t>
      </w:r>
      <w:proofErr w:type="spellStart"/>
      <w:r w:rsidRPr="0025439D">
        <w:t>the</w:t>
      </w:r>
      <w:proofErr w:type="spellEnd"/>
      <w:r w:rsidRPr="0025439D">
        <w:t xml:space="preserve"> </w:t>
      </w:r>
      <w:proofErr w:type="spellStart"/>
      <w:r w:rsidRPr="0025439D">
        <w:t>Eurozone´s</w:t>
      </w:r>
      <w:proofErr w:type="spellEnd"/>
      <w:r w:rsidRPr="0025439D">
        <w:t xml:space="preserve"> </w:t>
      </w:r>
      <w:proofErr w:type="spellStart"/>
      <w:r w:rsidRPr="0025439D">
        <w:t>crisis</w:t>
      </w:r>
      <w:proofErr w:type="spellEnd"/>
      <w:r w:rsidRPr="0025439D">
        <w:t xml:space="preserve"> on </w:t>
      </w:r>
      <w:proofErr w:type="spellStart"/>
      <w:r w:rsidRPr="0025439D">
        <w:t>the</w:t>
      </w:r>
      <w:proofErr w:type="spellEnd"/>
      <w:r w:rsidRPr="0025439D">
        <w:t xml:space="preserve"> </w:t>
      </w:r>
      <w:proofErr w:type="spellStart"/>
      <w:r w:rsidRPr="0025439D">
        <w:t>institutional</w:t>
      </w:r>
      <w:proofErr w:type="spellEnd"/>
      <w:r w:rsidRPr="0025439D">
        <w:t xml:space="preserve"> </w:t>
      </w:r>
      <w:proofErr w:type="spellStart"/>
      <w:r w:rsidRPr="0025439D">
        <w:t>framework</w:t>
      </w:r>
      <w:proofErr w:type="spellEnd"/>
      <w:r w:rsidRPr="0025439D">
        <w:t xml:space="preserve"> and </w:t>
      </w:r>
      <w:proofErr w:type="spellStart"/>
      <w:r w:rsidRPr="0025439D">
        <w:t>national</w:t>
      </w:r>
      <w:proofErr w:type="spellEnd"/>
      <w:r w:rsidRPr="0025439D">
        <w:t xml:space="preserve"> </w:t>
      </w:r>
      <w:proofErr w:type="spellStart"/>
      <w:r w:rsidRPr="0025439D">
        <w:t>law</w:t>
      </w:r>
      <w:proofErr w:type="spellEnd"/>
      <w:r w:rsidRPr="0025439D">
        <w:t xml:space="preserve"> </w:t>
      </w:r>
      <w:proofErr w:type="spellStart"/>
      <w:r w:rsidRPr="0025439D">
        <w:t>of</w:t>
      </w:r>
      <w:proofErr w:type="spellEnd"/>
      <w:r w:rsidRPr="0025439D">
        <w:t xml:space="preserve"> </w:t>
      </w:r>
      <w:proofErr w:type="spellStart"/>
      <w:r w:rsidRPr="0025439D">
        <w:t>member</w:t>
      </w:r>
      <w:proofErr w:type="spellEnd"/>
      <w:r w:rsidRPr="0025439D">
        <w:t xml:space="preserve"> </w:t>
      </w:r>
      <w:proofErr w:type="spellStart"/>
      <w:r w:rsidRPr="0025439D">
        <w:t>states</w:t>
      </w:r>
      <w:proofErr w:type="spellEnd"/>
      <w:r w:rsidRPr="0025439D">
        <w:t xml:space="preserve"> - </w:t>
      </w:r>
      <w:proofErr w:type="spellStart"/>
      <w:r w:rsidRPr="0025439D">
        <w:t>some</w:t>
      </w:r>
      <w:proofErr w:type="spellEnd"/>
      <w:r w:rsidRPr="0025439D">
        <w:t xml:space="preserve"> </w:t>
      </w:r>
      <w:proofErr w:type="spellStart"/>
      <w:r w:rsidRPr="0025439D">
        <w:t>considerations</w:t>
      </w:r>
      <w:proofErr w:type="spellEnd"/>
      <w:r w:rsidRPr="0025439D">
        <w:t xml:space="preserve">. </w:t>
      </w:r>
      <w:proofErr w:type="spellStart"/>
      <w:r w:rsidRPr="0025439D">
        <w:t>Danube</w:t>
      </w:r>
      <w:proofErr w:type="spellEnd"/>
      <w:r w:rsidRPr="0025439D">
        <w:t xml:space="preserve"> : </w:t>
      </w:r>
      <w:proofErr w:type="spellStart"/>
      <w:r w:rsidRPr="0025439D">
        <w:t>Law</w:t>
      </w:r>
      <w:proofErr w:type="spellEnd"/>
      <w:r w:rsidRPr="0025439D">
        <w:t xml:space="preserve"> and </w:t>
      </w:r>
      <w:proofErr w:type="spellStart"/>
      <w:r w:rsidRPr="0025439D">
        <w:t>Economics</w:t>
      </w:r>
      <w:proofErr w:type="spellEnd"/>
      <w:r w:rsidRPr="0025439D">
        <w:t xml:space="preserve"> </w:t>
      </w:r>
      <w:proofErr w:type="spellStart"/>
      <w:r w:rsidRPr="0025439D">
        <w:t>Review</w:t>
      </w:r>
      <w:proofErr w:type="spellEnd"/>
      <w:r w:rsidRPr="0025439D">
        <w:t>, 2013, roč. 2013, č. 4, s. 293-300.</w:t>
      </w:r>
      <w:r>
        <w:t xml:space="preserve">). Autorka žádá o dvojnásobné navýšení bodů za publikaci, zdůvodněním žádosti je excelence tohoto výstupu. EK  se většinově shoduje, že tato žádost není uplatnitelná, jelikož Směrnice děkanky, na kterou se vztahuje tento výsledek (tedy 1/2013), ve své příloze neobsahuje možnost individuálního navýšení bodů o tzv. excelenci. EK žádost zamítá v poměru </w:t>
      </w:r>
      <w:r w:rsidR="005F16B9">
        <w:t>4 proti žádosti, 3 zdržel se</w:t>
      </w:r>
    </w:p>
    <w:p w:rsidR="008A0D21" w:rsidRPr="008A0D21" w:rsidRDefault="008A0D21" w:rsidP="008A0D21">
      <w:pPr>
        <w:rPr>
          <w:i/>
        </w:rPr>
      </w:pPr>
      <w:r w:rsidRPr="008A0D21">
        <w:rPr>
          <w:i/>
        </w:rPr>
        <w:t>Odchází doc. Jirásek.</w:t>
      </w:r>
    </w:p>
    <w:p w:rsidR="008C0C4B" w:rsidRDefault="0025439D" w:rsidP="008C0C4B">
      <w:pPr>
        <w:pStyle w:val="Odstavecseseznamem"/>
        <w:numPr>
          <w:ilvl w:val="1"/>
          <w:numId w:val="1"/>
        </w:numPr>
      </w:pPr>
      <w:r>
        <w:t xml:space="preserve">dr. </w:t>
      </w:r>
      <w:r w:rsidR="008C0C4B">
        <w:t xml:space="preserve">Ondrej </w:t>
      </w:r>
      <w:proofErr w:type="spellStart"/>
      <w:r w:rsidR="008C0C4B">
        <w:t>Hamuľák</w:t>
      </w:r>
      <w:proofErr w:type="spellEnd"/>
      <w:r w:rsidR="008C0C4B">
        <w:t xml:space="preserve"> – žádost o navýšení bodů za článek v časopise </w:t>
      </w:r>
      <w:proofErr w:type="spellStart"/>
      <w:r w:rsidR="008C0C4B">
        <w:t>Danube</w:t>
      </w:r>
      <w:proofErr w:type="spellEnd"/>
      <w:r w:rsidR="008C0C4B">
        <w:t>, rok uplatnění 2015 (</w:t>
      </w:r>
      <w:r w:rsidR="008C0C4B" w:rsidRPr="008C0C4B">
        <w:t xml:space="preserve">HAMUĽÁK, O. </w:t>
      </w:r>
      <w:proofErr w:type="spellStart"/>
      <w:r w:rsidR="008C0C4B" w:rsidRPr="008C0C4B">
        <w:t>Lessons</w:t>
      </w:r>
      <w:proofErr w:type="spellEnd"/>
      <w:r w:rsidR="008C0C4B" w:rsidRPr="008C0C4B">
        <w:t xml:space="preserve"> </w:t>
      </w:r>
      <w:proofErr w:type="spellStart"/>
      <w:r w:rsidR="008C0C4B" w:rsidRPr="008C0C4B">
        <w:t>from</w:t>
      </w:r>
      <w:proofErr w:type="spellEnd"/>
      <w:r w:rsidR="008C0C4B" w:rsidRPr="008C0C4B">
        <w:t xml:space="preserve"> </w:t>
      </w:r>
      <w:proofErr w:type="spellStart"/>
      <w:r w:rsidR="008C0C4B" w:rsidRPr="008C0C4B">
        <w:t>the</w:t>
      </w:r>
      <w:proofErr w:type="spellEnd"/>
      <w:r w:rsidR="008C0C4B" w:rsidRPr="008C0C4B">
        <w:t xml:space="preserve"> “</w:t>
      </w:r>
      <w:proofErr w:type="spellStart"/>
      <w:r w:rsidR="008C0C4B" w:rsidRPr="008C0C4B">
        <w:t>Constitutional</w:t>
      </w:r>
      <w:proofErr w:type="spellEnd"/>
      <w:r w:rsidR="008C0C4B" w:rsidRPr="008C0C4B">
        <w:t xml:space="preserve"> </w:t>
      </w:r>
      <w:proofErr w:type="spellStart"/>
      <w:r w:rsidR="008C0C4B" w:rsidRPr="008C0C4B">
        <w:t>Mythology</w:t>
      </w:r>
      <w:proofErr w:type="spellEnd"/>
      <w:r w:rsidR="008C0C4B" w:rsidRPr="008C0C4B">
        <w:t xml:space="preserve">” </w:t>
      </w:r>
      <w:proofErr w:type="spellStart"/>
      <w:r w:rsidR="008C0C4B" w:rsidRPr="008C0C4B">
        <w:t>or</w:t>
      </w:r>
      <w:proofErr w:type="spellEnd"/>
      <w:r w:rsidR="008C0C4B" w:rsidRPr="008C0C4B">
        <w:t xml:space="preserve"> </w:t>
      </w:r>
      <w:proofErr w:type="spellStart"/>
      <w:r w:rsidR="008C0C4B" w:rsidRPr="008C0C4B">
        <w:t>How</w:t>
      </w:r>
      <w:proofErr w:type="spellEnd"/>
      <w:r w:rsidR="008C0C4B" w:rsidRPr="008C0C4B">
        <w:t xml:space="preserve"> to </w:t>
      </w:r>
      <w:proofErr w:type="spellStart"/>
      <w:r w:rsidR="008C0C4B" w:rsidRPr="008C0C4B">
        <w:t>Reconcile</w:t>
      </w:r>
      <w:proofErr w:type="spellEnd"/>
      <w:r w:rsidR="008C0C4B" w:rsidRPr="008C0C4B">
        <w:t xml:space="preserve"> </w:t>
      </w:r>
      <w:proofErr w:type="spellStart"/>
      <w:r w:rsidR="008C0C4B" w:rsidRPr="008C0C4B">
        <w:t>the</w:t>
      </w:r>
      <w:proofErr w:type="spellEnd"/>
      <w:r w:rsidR="008C0C4B" w:rsidRPr="008C0C4B">
        <w:t xml:space="preserve"> </w:t>
      </w:r>
      <w:proofErr w:type="spellStart"/>
      <w:r w:rsidR="008C0C4B" w:rsidRPr="008C0C4B">
        <w:t>Concepts</w:t>
      </w:r>
      <w:proofErr w:type="spellEnd"/>
      <w:r w:rsidR="008C0C4B" w:rsidRPr="008C0C4B">
        <w:t xml:space="preserve"> </w:t>
      </w:r>
      <w:proofErr w:type="spellStart"/>
      <w:r w:rsidR="008C0C4B" w:rsidRPr="008C0C4B">
        <w:t>of</w:t>
      </w:r>
      <w:proofErr w:type="spellEnd"/>
      <w:r w:rsidR="008C0C4B" w:rsidRPr="008C0C4B">
        <w:t xml:space="preserve"> </w:t>
      </w:r>
      <w:proofErr w:type="spellStart"/>
      <w:r w:rsidR="008C0C4B" w:rsidRPr="008C0C4B">
        <w:t>State</w:t>
      </w:r>
      <w:proofErr w:type="spellEnd"/>
      <w:r w:rsidR="008C0C4B" w:rsidRPr="008C0C4B">
        <w:t xml:space="preserve"> </w:t>
      </w:r>
      <w:proofErr w:type="spellStart"/>
      <w:r w:rsidR="008C0C4B" w:rsidRPr="008C0C4B">
        <w:t>with</w:t>
      </w:r>
      <w:proofErr w:type="spellEnd"/>
      <w:r w:rsidR="008C0C4B" w:rsidRPr="008C0C4B">
        <w:t xml:space="preserve"> </w:t>
      </w:r>
      <w:proofErr w:type="spellStart"/>
      <w:r w:rsidR="008C0C4B" w:rsidRPr="008C0C4B">
        <w:t>European</w:t>
      </w:r>
      <w:proofErr w:type="spellEnd"/>
      <w:r w:rsidR="008C0C4B" w:rsidRPr="008C0C4B">
        <w:t xml:space="preserve"> </w:t>
      </w:r>
      <w:proofErr w:type="spellStart"/>
      <w:r w:rsidR="008C0C4B" w:rsidRPr="008C0C4B">
        <w:t>Integration</w:t>
      </w:r>
      <w:proofErr w:type="spellEnd"/>
      <w:r w:rsidR="008C0C4B" w:rsidRPr="008C0C4B">
        <w:t xml:space="preserve">, DANUBE: </w:t>
      </w:r>
      <w:proofErr w:type="spellStart"/>
      <w:r w:rsidR="008C0C4B" w:rsidRPr="008C0C4B">
        <w:t>Law</w:t>
      </w:r>
      <w:proofErr w:type="spellEnd"/>
      <w:r w:rsidR="008C0C4B" w:rsidRPr="008C0C4B">
        <w:t xml:space="preserve"> and </w:t>
      </w:r>
      <w:proofErr w:type="spellStart"/>
      <w:r w:rsidR="008C0C4B" w:rsidRPr="008C0C4B">
        <w:t>Economics</w:t>
      </w:r>
      <w:proofErr w:type="spellEnd"/>
      <w:r w:rsidR="008C0C4B" w:rsidRPr="008C0C4B">
        <w:t xml:space="preserve"> </w:t>
      </w:r>
      <w:proofErr w:type="spellStart"/>
      <w:r w:rsidR="008C0C4B" w:rsidRPr="008C0C4B">
        <w:t>Review</w:t>
      </w:r>
      <w:proofErr w:type="spellEnd"/>
      <w:r w:rsidR="008C0C4B" w:rsidRPr="008C0C4B">
        <w:t>, 2015, vol. 6, no. 2, p. 75–90.</w:t>
      </w:r>
      <w:r w:rsidR="008C0C4B">
        <w:t xml:space="preserve">). Autor žádá a nespecifikované navýšení bodů, zdůvodněné indexací časopisu v databázi </w:t>
      </w:r>
      <w:proofErr w:type="spellStart"/>
      <w:r w:rsidR="008C0C4B">
        <w:t>Scopus</w:t>
      </w:r>
      <w:proofErr w:type="spellEnd"/>
      <w:r w:rsidR="008C0C4B">
        <w:t xml:space="preserve"> a pravděpodobného vyššího zisku tzv. </w:t>
      </w:r>
      <w:proofErr w:type="spellStart"/>
      <w:r w:rsidR="008C0C4B">
        <w:t>rivovských</w:t>
      </w:r>
      <w:proofErr w:type="spellEnd"/>
      <w:r w:rsidR="008C0C4B">
        <w:t xml:space="preserve"> bodů. Po krátké debatě navrhuje proděkanka Vítová dvojnásobné navýšení ke stávající hodnotě (12x2)x2=48 bodů. EK tento návrh schvaluje v poměru </w:t>
      </w:r>
      <w:r w:rsidR="008A0D21">
        <w:t>7 pro</w:t>
      </w:r>
      <w:r w:rsidR="005F16B9">
        <w:t xml:space="preserve"> žádost</w:t>
      </w:r>
    </w:p>
    <w:p w:rsidR="008A0D21" w:rsidRPr="005D6614" w:rsidRDefault="008A0D21" w:rsidP="008A0D21">
      <w:pPr>
        <w:pStyle w:val="Odstavecseseznamem"/>
        <w:ind w:left="1440"/>
      </w:pPr>
    </w:p>
    <w:p w:rsidR="0025439D" w:rsidRPr="00D01698" w:rsidRDefault="0025439D" w:rsidP="00D01698">
      <w:pPr>
        <w:pStyle w:val="Odstavecseseznamem"/>
        <w:numPr>
          <w:ilvl w:val="1"/>
          <w:numId w:val="1"/>
        </w:numPr>
        <w:rPr>
          <w:i/>
        </w:rPr>
      </w:pPr>
      <w:r>
        <w:lastRenderedPageBreak/>
        <w:t xml:space="preserve">doc. Naděžda Šišková – žádost o navýšení bodů za editorství publikace </w:t>
      </w:r>
      <w:r w:rsidRPr="0025439D">
        <w:t xml:space="preserve">Naděžda </w:t>
      </w:r>
      <w:proofErr w:type="spellStart"/>
      <w:r w:rsidRPr="0025439D">
        <w:t>Šišková,ed</w:t>
      </w:r>
      <w:proofErr w:type="spellEnd"/>
      <w:r w:rsidRPr="0025439D">
        <w:t>.:</w:t>
      </w:r>
      <w:r>
        <w:t xml:space="preserve"> </w:t>
      </w:r>
      <w:proofErr w:type="spellStart"/>
      <w:r w:rsidRPr="0025439D">
        <w:t>From</w:t>
      </w:r>
      <w:proofErr w:type="spellEnd"/>
      <w:r w:rsidRPr="0025439D">
        <w:t xml:space="preserve"> </w:t>
      </w:r>
      <w:proofErr w:type="spellStart"/>
      <w:r w:rsidRPr="0025439D">
        <w:t>Eastern</w:t>
      </w:r>
      <w:proofErr w:type="spellEnd"/>
      <w:r w:rsidRPr="0025439D">
        <w:t xml:space="preserve"> </w:t>
      </w:r>
      <w:proofErr w:type="spellStart"/>
      <w:r w:rsidRPr="0025439D">
        <w:t>Partnership</w:t>
      </w:r>
      <w:proofErr w:type="spellEnd"/>
      <w:r w:rsidRPr="0025439D">
        <w:t xml:space="preserve"> to </w:t>
      </w:r>
      <w:proofErr w:type="spellStart"/>
      <w:r w:rsidRPr="0025439D">
        <w:t>the</w:t>
      </w:r>
      <w:proofErr w:type="spellEnd"/>
      <w:r w:rsidRPr="0025439D">
        <w:t xml:space="preserve"> </w:t>
      </w:r>
      <w:proofErr w:type="spellStart"/>
      <w:r w:rsidRPr="0025439D">
        <w:t>Association</w:t>
      </w:r>
      <w:proofErr w:type="spellEnd"/>
      <w:r w:rsidRPr="0025439D">
        <w:t xml:space="preserve">. A </w:t>
      </w:r>
      <w:proofErr w:type="spellStart"/>
      <w:r w:rsidRPr="0025439D">
        <w:t>Legal</w:t>
      </w:r>
      <w:proofErr w:type="spellEnd"/>
      <w:r w:rsidRPr="0025439D">
        <w:t xml:space="preserve"> and </w:t>
      </w:r>
      <w:proofErr w:type="spellStart"/>
      <w:r w:rsidRPr="0025439D">
        <w:t>Political</w:t>
      </w:r>
      <w:proofErr w:type="spellEnd"/>
      <w:r w:rsidRPr="0025439D">
        <w:t xml:space="preserve"> </w:t>
      </w:r>
      <w:proofErr w:type="spellStart"/>
      <w:r w:rsidRPr="0025439D">
        <w:t>Anylysis</w:t>
      </w:r>
      <w:proofErr w:type="spellEnd"/>
      <w:r w:rsidRPr="0025439D">
        <w:t xml:space="preserve">", Cambridge </w:t>
      </w:r>
      <w:proofErr w:type="spellStart"/>
      <w:r w:rsidRPr="0025439D">
        <w:t>Scholars</w:t>
      </w:r>
      <w:proofErr w:type="spellEnd"/>
      <w:r w:rsidRPr="0025439D">
        <w:t xml:space="preserve"> </w:t>
      </w:r>
      <w:proofErr w:type="spellStart"/>
      <w:r w:rsidRPr="0025439D">
        <w:t>Publishing</w:t>
      </w:r>
      <w:proofErr w:type="spellEnd"/>
      <w:r w:rsidRPr="0025439D">
        <w:t>", 2014</w:t>
      </w:r>
      <w:r>
        <w:t xml:space="preserve">. </w:t>
      </w:r>
      <w:r w:rsidR="00D01698">
        <w:t xml:space="preserve">Autorka žádá o individuální </w:t>
      </w:r>
      <w:proofErr w:type="spellStart"/>
      <w:r w:rsidR="00D01698">
        <w:t>navyšení</w:t>
      </w:r>
      <w:proofErr w:type="spellEnd"/>
      <w:r w:rsidR="00D01698">
        <w:t xml:space="preserve"> bodů o 7b ke stávající bodové hodnotě výsledku (7b za editorství publikace násobeno 2,0 za koeficient světového jazyka = 14b), zdůvodněním (předkládaným vedoucím katedry MEP doc. Stehlíkem) je:</w:t>
      </w:r>
    </w:p>
    <w:p w:rsidR="00D01698" w:rsidRDefault="008A0D21" w:rsidP="00D01698">
      <w:pPr>
        <w:ind w:left="1980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„</w:t>
      </w:r>
      <w:r w:rsidR="00D01698" w:rsidRPr="00D01698">
        <w:rPr>
          <w:i/>
          <w:color w:val="000000"/>
          <w:shd w:val="clear" w:color="auto" w:fill="FFFFFF"/>
        </w:rPr>
        <w:t>Editorská činnost u tohoto titulu vyžádala rozsáh</w:t>
      </w:r>
      <w:r w:rsidR="00D01698">
        <w:rPr>
          <w:i/>
          <w:color w:val="000000"/>
          <w:shd w:val="clear" w:color="auto" w:fill="FFFFFF"/>
        </w:rPr>
        <w:t>lé  analytické práce za celý tým,</w:t>
      </w:r>
      <w:r w:rsidR="00D01698" w:rsidRPr="00D01698">
        <w:rPr>
          <w:i/>
          <w:color w:val="000000"/>
          <w:shd w:val="clear" w:color="auto" w:fill="FFFFFF"/>
        </w:rPr>
        <w:t xml:space="preserve"> v němž někteří autoři měli někdy protichůdná stanoviska, jež bylo nutno s jednotlivými autory dojednat a ujednotit a vypracovat za celý autorský kolektiv koherentní a právně zdatně vyargumentovaný text, který by byl přijatelný a přesvědčivý pro všechny.  Toto shrnutí, jež jsem </w:t>
      </w:r>
      <w:proofErr w:type="spellStart"/>
      <w:r w:rsidR="00D01698" w:rsidRPr="00D01698">
        <w:rPr>
          <w:i/>
          <w:color w:val="000000"/>
          <w:shd w:val="clear" w:color="auto" w:fill="FFFFFF"/>
        </w:rPr>
        <w:t>ypracovala</w:t>
      </w:r>
      <w:proofErr w:type="spellEnd"/>
      <w:r w:rsidR="00D01698" w:rsidRPr="00D01698">
        <w:rPr>
          <w:i/>
          <w:color w:val="000000"/>
          <w:shd w:val="clear" w:color="auto" w:fill="FFFFFF"/>
        </w:rPr>
        <w:t xml:space="preserve">  závěru monografii, tvoří součást poměrně rozsáhlých </w:t>
      </w:r>
      <w:proofErr w:type="spellStart"/>
      <w:r w:rsidR="00D01698" w:rsidRPr="00D01698">
        <w:rPr>
          <w:i/>
          <w:color w:val="000000"/>
          <w:shd w:val="clear" w:color="auto" w:fill="FFFFFF"/>
        </w:rPr>
        <w:t>Conclusions</w:t>
      </w:r>
      <w:proofErr w:type="spellEnd"/>
      <w:r w:rsidR="00D01698" w:rsidRPr="00D01698">
        <w:rPr>
          <w:i/>
          <w:color w:val="000000"/>
          <w:shd w:val="clear" w:color="auto" w:fill="FFFFFF"/>
        </w:rPr>
        <w:t xml:space="preserve">, které jsou natolik významná, že v databázi Web </w:t>
      </w:r>
      <w:proofErr w:type="spellStart"/>
      <w:r w:rsidR="00D01698" w:rsidRPr="00D01698">
        <w:rPr>
          <w:i/>
          <w:color w:val="000000"/>
          <w:shd w:val="clear" w:color="auto" w:fill="FFFFFF"/>
        </w:rPr>
        <w:t>of</w:t>
      </w:r>
      <w:proofErr w:type="spellEnd"/>
      <w:r w:rsidR="00D01698" w:rsidRPr="00D01698">
        <w:rPr>
          <w:i/>
          <w:color w:val="000000"/>
          <w:shd w:val="clear" w:color="auto" w:fill="FFFFFF"/>
        </w:rPr>
        <w:t xml:space="preserve"> Science tvoří samostatnou položku nad rámec dalších 2 mých položek v této knize.</w:t>
      </w:r>
      <w:r>
        <w:rPr>
          <w:i/>
          <w:color w:val="000000"/>
          <w:shd w:val="clear" w:color="auto" w:fill="FFFFFF"/>
        </w:rPr>
        <w:t>“</w:t>
      </w:r>
      <w:r w:rsidR="00D01698">
        <w:rPr>
          <w:i/>
          <w:color w:val="000000"/>
          <w:shd w:val="clear" w:color="auto" w:fill="FFFFFF"/>
        </w:rPr>
        <w:t xml:space="preserve"> (žádost doc. Šiškové zaslána vedoucí katedry MEP doc. Stehlíkovi).</w:t>
      </w:r>
    </w:p>
    <w:p w:rsidR="00D01698" w:rsidRDefault="00D01698" w:rsidP="00405082">
      <w:pPr>
        <w:ind w:left="141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EK se po krátké debatě většinově shoduje na skutečnosti</w:t>
      </w:r>
      <w:r w:rsidR="00405082">
        <w:rPr>
          <w:color w:val="000000"/>
          <w:shd w:val="clear" w:color="auto" w:fill="FFFFFF"/>
        </w:rPr>
        <w:t xml:space="preserve">, že bodové hodnocení i rozsáhlé editorské činnosti je již adekvátně oceněno (stávajících 14b) a zaujímá stanovisko </w:t>
      </w:r>
      <w:r w:rsidR="00405082">
        <w:rPr>
          <w:b/>
          <w:color w:val="000000"/>
          <w:shd w:val="clear" w:color="auto" w:fill="FFFFFF"/>
        </w:rPr>
        <w:t>obecně a i do budoucna nevztahovat možná navýšení za tzv. excelenci</w:t>
      </w:r>
      <w:r w:rsidR="008A0D21">
        <w:rPr>
          <w:b/>
          <w:color w:val="000000"/>
          <w:shd w:val="clear" w:color="auto" w:fill="FFFFFF"/>
        </w:rPr>
        <w:t xml:space="preserve"> k editorské činnosti</w:t>
      </w:r>
      <w:r w:rsidR="00405082">
        <w:rPr>
          <w:b/>
          <w:color w:val="000000"/>
          <w:shd w:val="clear" w:color="auto" w:fill="FFFFFF"/>
        </w:rPr>
        <w:t xml:space="preserve"> (příloha Směrnice 1/2014, bod 2)</w:t>
      </w:r>
      <w:r w:rsidR="00405082">
        <w:rPr>
          <w:color w:val="000000"/>
          <w:shd w:val="clear" w:color="auto" w:fill="FFFFFF"/>
        </w:rPr>
        <w:t>. EK žádost zamítá v poměru</w:t>
      </w:r>
      <w:r w:rsidR="005F16B9">
        <w:rPr>
          <w:color w:val="000000"/>
          <w:shd w:val="clear" w:color="auto" w:fill="FFFFFF"/>
        </w:rPr>
        <w:t xml:space="preserve"> 5 proti žádosti, 2 zdržel se.</w:t>
      </w:r>
    </w:p>
    <w:p w:rsidR="005F16B9" w:rsidRDefault="005F16B9" w:rsidP="006C13DF">
      <w:pPr>
        <w:rPr>
          <w:color w:val="000000"/>
          <w:shd w:val="clear" w:color="auto" w:fill="FFFFFF"/>
        </w:rPr>
      </w:pPr>
    </w:p>
    <w:p w:rsidR="006C13DF" w:rsidRDefault="006C13DF" w:rsidP="006C13D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Proběhla diskuze nad zveřejňováním rozhodnutí EK, Ediční komise se jednomyslně shodla na skutečnosti, že rozhodnutí a závěry na Komisi vzniklé jsou jednoznačně zveřejnitelné</w:t>
      </w:r>
      <w:r w:rsidR="008A0D21">
        <w:rPr>
          <w:color w:val="000000"/>
          <w:shd w:val="clear" w:color="auto" w:fill="FFFFFF"/>
        </w:rPr>
        <w:t xml:space="preserve"> a žadatel má nárok znát odůvodnění zamítnutí žádosti</w:t>
      </w:r>
      <w:r>
        <w:rPr>
          <w:color w:val="000000"/>
          <w:shd w:val="clear" w:color="auto" w:fill="FFFFFF"/>
        </w:rPr>
        <w:t>. Na základě tohoto usnesení budou na webu PF v sekci Centra vědy a výzkumu zveřejňovány zápisy z jednání EK.</w:t>
      </w:r>
    </w:p>
    <w:p w:rsidR="006C13DF" w:rsidRDefault="006C13DF" w:rsidP="006C13DF">
      <w:pPr>
        <w:pStyle w:val="Odstavecseseznamem"/>
        <w:numPr>
          <w:ilvl w:val="0"/>
          <w:numId w:val="1"/>
        </w:numPr>
        <w:rPr>
          <w:b/>
        </w:rPr>
      </w:pPr>
      <w:r w:rsidRPr="006C13DF">
        <w:rPr>
          <w:b/>
        </w:rPr>
        <w:t>Schválení finálních bodů evaluace akademických pracovníků PF UP v rámci Směrnice děkanky 1/2014.</w:t>
      </w:r>
    </w:p>
    <w:p w:rsidR="00F53F8C" w:rsidRPr="00F53F8C" w:rsidRDefault="006C13DF" w:rsidP="008A0D21">
      <w:r>
        <w:t xml:space="preserve">L. Walek informoval členy Komise průběhu tzv. </w:t>
      </w:r>
      <w:proofErr w:type="spellStart"/>
      <w:r>
        <w:t>rozporovacího</w:t>
      </w:r>
      <w:proofErr w:type="spellEnd"/>
      <w:r>
        <w:t xml:space="preserve"> období výsledku směrnice, které proběhlo ve třicetidenní lhůtě od zveřejnění výpočtu bodů dne </w:t>
      </w:r>
      <w:proofErr w:type="gramStart"/>
      <w:r>
        <w:t>10.6.2016</w:t>
      </w:r>
      <w:proofErr w:type="gramEnd"/>
      <w:r>
        <w:t>. V tomto období byly upraveny body některých akademických pracovníků na základně nahlášených chyb, či nesrovnalostí technického charakteru (chybný výpočet, doplnění koeficientu za světový jazyk, apod.). Zároveň byly sesbírány individuální žádosti o bodové navýšení, řešené na této EK v bodě 2</w:t>
      </w:r>
      <w:r w:rsidR="00F53F8C">
        <w:t xml:space="preserve"> – tyto žádosti byly vyhodnoceny a zapracovány již v průběhu jednání EK</w:t>
      </w:r>
      <w:r>
        <w:t xml:space="preserve">. </w:t>
      </w:r>
      <w:r w:rsidR="00F53F8C">
        <w:t>Body za rok 2015 byly zasazeny do průměru ve sledovaném tříletém období. EK následně bodové hodnocení vědeckého výkonu akademických pracovníků PF UP dle směrnice 1/2014 schválila v poměru hlasů: 8 pro, 0 proti, 0 zdržel se.  Finální tabulka hodnocení byla následně bezodkladně odeslána předsedkyní EK doc. Vítovou jednotlivým vedoucím kateder.</w:t>
      </w:r>
    </w:p>
    <w:p w:rsidR="00F53F8C" w:rsidRPr="00F53F8C" w:rsidRDefault="00F53F8C" w:rsidP="00F53F8C">
      <w:pPr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Odchází dr. </w:t>
      </w:r>
      <w:proofErr w:type="spellStart"/>
      <w:r>
        <w:rPr>
          <w:i/>
          <w:color w:val="000000"/>
          <w:shd w:val="clear" w:color="auto" w:fill="FFFFFF"/>
        </w:rPr>
        <w:t>Tomoszková</w:t>
      </w:r>
      <w:proofErr w:type="spellEnd"/>
      <w:r>
        <w:rPr>
          <w:i/>
          <w:color w:val="000000"/>
          <w:shd w:val="clear" w:color="auto" w:fill="FFFFFF"/>
        </w:rPr>
        <w:t>, Mgr. Černá</w:t>
      </w:r>
    </w:p>
    <w:p w:rsidR="00F53F8C" w:rsidRDefault="00F53F8C" w:rsidP="00F53F8C">
      <w:pPr>
        <w:pStyle w:val="Odstavecseseznamem"/>
        <w:numPr>
          <w:ilvl w:val="0"/>
          <w:numId w:val="1"/>
        </w:numPr>
        <w:rPr>
          <w:b/>
        </w:rPr>
      </w:pPr>
      <w:r w:rsidRPr="00F53F8C">
        <w:rPr>
          <w:b/>
        </w:rPr>
        <w:t xml:space="preserve"> Aktualizace přílohy směrnice S1/2011 k posílení vědeckého výkonu</w:t>
      </w:r>
    </w:p>
    <w:p w:rsidR="00F53F8C" w:rsidRDefault="00F53F8C" w:rsidP="008A0D21">
      <w:r>
        <w:t xml:space="preserve">Proděkanka pro vědu a výzkum doc. Vítová informovala členy EK o aktualizaci Směrnice </w:t>
      </w:r>
      <w:r w:rsidR="005F16B9">
        <w:t xml:space="preserve">po diskusi v Kolegiu děkanky dne </w:t>
      </w:r>
      <w:proofErr w:type="gramStart"/>
      <w:r w:rsidR="005F16B9">
        <w:t>31.10.2016</w:t>
      </w:r>
      <w:proofErr w:type="gramEnd"/>
      <w:r w:rsidR="005F16B9">
        <w:t xml:space="preserve"> </w:t>
      </w:r>
      <w:r>
        <w:t>v následujících oblastech:</w:t>
      </w:r>
    </w:p>
    <w:p w:rsidR="005F16B9" w:rsidRPr="00547DB8" w:rsidRDefault="005F16B9" w:rsidP="005F16B9">
      <w:pPr>
        <w:pStyle w:val="Odstavecseseznamem"/>
        <w:numPr>
          <w:ilvl w:val="0"/>
          <w:numId w:val="5"/>
        </w:numPr>
      </w:pPr>
      <w:r w:rsidRPr="00547DB8">
        <w:lastRenderedPageBreak/>
        <w:t>OBD směrnice bude nastavena jako pracovněprávní nástroj kontroly plnění minimálních standardů v tvůrčí činnosti</w:t>
      </w:r>
    </w:p>
    <w:p w:rsidR="005F16B9" w:rsidRPr="00547DB8" w:rsidRDefault="005F16B9" w:rsidP="005F16B9">
      <w:pPr>
        <w:pStyle w:val="Odstavecseseznamem"/>
        <w:numPr>
          <w:ilvl w:val="0"/>
          <w:numId w:val="5"/>
        </w:numPr>
      </w:pPr>
      <w:r w:rsidRPr="00547DB8">
        <w:t>u bodového ohodnocení ve směrnici OBD je nutné upravit počty bodů za jednotlivé výstupy a určit jednotný minimální počet bodů, kterých musí každý pracovník dosáhnout pro splnění základních pracovních povinností v tvůrčí oblasti</w:t>
      </w:r>
      <w:r w:rsidR="00E4257D">
        <w:t xml:space="preserve"> (viz tabulka dále)</w:t>
      </w:r>
    </w:p>
    <w:p w:rsidR="005F16B9" w:rsidRPr="00547DB8" w:rsidRDefault="005F16B9" w:rsidP="005F16B9">
      <w:pPr>
        <w:pStyle w:val="Odstavecseseznamem"/>
        <w:numPr>
          <w:ilvl w:val="0"/>
          <w:numId w:val="5"/>
        </w:numPr>
      </w:pPr>
      <w:r w:rsidRPr="00547DB8">
        <w:t xml:space="preserve">účinnost směrnice se navrhuje od </w:t>
      </w:r>
      <w:r w:rsidR="00E4257D" w:rsidRPr="00547DB8">
        <w:t>1. 1. 2017</w:t>
      </w:r>
    </w:p>
    <w:p w:rsidR="005F16B9" w:rsidRPr="00547DB8" w:rsidRDefault="005F16B9" w:rsidP="005F16B9">
      <w:pPr>
        <w:pStyle w:val="Odstavecseseznamem"/>
        <w:numPr>
          <w:ilvl w:val="0"/>
          <w:numId w:val="5"/>
        </w:numPr>
      </w:pPr>
      <w:r w:rsidRPr="00547DB8">
        <w:t>navrhuje se ponechat minimální tvůrčí výkon, který dle směrnice OBD bude u všech akademických pracovníků činit 20 bodů podle přílohy směrnice bez ohledu na to, zda se jedná o habilitovaného nebo nehabilitovaného akademického pracovníka</w:t>
      </w:r>
    </w:p>
    <w:p w:rsidR="005F16B9" w:rsidRPr="00547DB8" w:rsidRDefault="005F16B9" w:rsidP="00547DB8">
      <w:pPr>
        <w:spacing w:after="0" w:line="240" w:lineRule="auto"/>
        <w:jc w:val="both"/>
        <w:rPr>
          <w:b/>
        </w:rPr>
      </w:pPr>
      <w:r w:rsidRPr="00547DB8">
        <w:rPr>
          <w:b/>
        </w:rPr>
        <w:t>Příloha aktualizované směrnice OBD by vypadala nově takto:</w:t>
      </w:r>
    </w:p>
    <w:p w:rsidR="005F16B9" w:rsidRPr="00547DB8" w:rsidRDefault="005F16B9" w:rsidP="00547DB8">
      <w:pPr>
        <w:pStyle w:val="Odstavecseseznamem"/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92"/>
        <w:gridCol w:w="1118"/>
      </w:tblGrid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vertAlign w:val="superscript"/>
              </w:rPr>
            </w:pPr>
            <w:r w:rsidRPr="00547DB8">
              <w:rPr>
                <w:rFonts w:cs="Times New Roman"/>
              </w:rPr>
              <w:t xml:space="preserve">Článek evidovaný v databázi </w:t>
            </w:r>
            <w:proofErr w:type="spellStart"/>
            <w:r w:rsidRPr="00547DB8">
              <w:rPr>
                <w:rFonts w:cs="Times New Roman"/>
              </w:rPr>
              <w:t>WoS</w:t>
            </w:r>
            <w:proofErr w:type="spellEnd"/>
            <w:r w:rsidRPr="00547DB8">
              <w:rPr>
                <w:rFonts w:cs="Times New Roman"/>
              </w:rPr>
              <w:t xml:space="preserve"> a </w:t>
            </w:r>
            <w:proofErr w:type="spellStart"/>
            <w:r w:rsidRPr="00547DB8">
              <w:rPr>
                <w:rFonts w:cs="Times New Roman"/>
              </w:rPr>
              <w:t>Scopus</w:t>
            </w:r>
            <w:proofErr w:type="spellEnd"/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</w:rPr>
            </w:pPr>
            <w:r w:rsidRPr="00547DB8">
              <w:rPr>
                <w:rFonts w:cs="Times New Roman"/>
              </w:rPr>
              <w:t>20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Článek ve vybraných českých a slovenských časopisech</w:t>
            </w:r>
            <w:r w:rsidRPr="00547DB8">
              <w:rPr>
                <w:vertAlign w:val="superscript"/>
              </w:rPr>
              <w:t>1, 2, 4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10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547DB8">
              <w:t xml:space="preserve">Články v ostatních časopisech a konferenčních sbornících (vč. sborníků v databázích </w:t>
            </w:r>
            <w:proofErr w:type="spellStart"/>
            <w:r w:rsidRPr="00547DB8">
              <w:t>WoS</w:t>
            </w:r>
            <w:proofErr w:type="spellEnd"/>
            <w:r w:rsidRPr="00547DB8">
              <w:t xml:space="preserve"> a </w:t>
            </w:r>
            <w:proofErr w:type="spellStart"/>
            <w:r w:rsidRPr="00547DB8">
              <w:t>Scopus</w:t>
            </w:r>
            <w:proofErr w:type="spellEnd"/>
            <w:r w:rsidRPr="00547DB8">
              <w:t>)</w:t>
            </w:r>
            <w:r w:rsidRPr="00547DB8">
              <w:rPr>
                <w:vertAlign w:val="superscript"/>
              </w:rPr>
              <w:t>2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4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547DB8">
              <w:t>Odborná kniha</w:t>
            </w:r>
            <w:r w:rsidRPr="00547DB8">
              <w:rPr>
                <w:vertAlign w:val="superscript"/>
              </w:rPr>
              <w:t>2, 7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40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547DB8">
              <w:t>VŠ učebnice</w:t>
            </w:r>
            <w:r w:rsidRPr="00547DB8">
              <w:rPr>
                <w:vertAlign w:val="superscript"/>
              </w:rPr>
              <w:t>2, 7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20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547DB8">
              <w:t>Praktikum</w:t>
            </w:r>
            <w:r w:rsidRPr="00547DB8">
              <w:rPr>
                <w:vertAlign w:val="superscript"/>
              </w:rPr>
              <w:t>2, 7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10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547DB8">
              <w:t>Skripta (publikace, která nemá didaktický přesah dané instituce)</w:t>
            </w:r>
            <w:r w:rsidRPr="00547DB8">
              <w:rPr>
                <w:vertAlign w:val="superscript"/>
              </w:rPr>
              <w:t>2, 7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</w:pPr>
            <w:r w:rsidRPr="00547DB8">
              <w:t>5</w:t>
            </w:r>
          </w:p>
        </w:tc>
      </w:tr>
      <w:tr w:rsidR="00547DB8" w:rsidRPr="00547DB8" w:rsidTr="00EB3AD6">
        <w:trPr>
          <w:trHeight w:val="593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vertAlign w:val="superscript"/>
              </w:rPr>
            </w:pPr>
            <w:r w:rsidRPr="00547DB8">
              <w:rPr>
                <w:rFonts w:cs="Times New Roman"/>
              </w:rPr>
              <w:t>Kapitola/-y v monografii</w:t>
            </w:r>
            <w:r w:rsidRPr="00547DB8">
              <w:rPr>
                <w:rFonts w:cs="Times New Roman"/>
                <w:vertAlign w:val="superscript"/>
              </w:rPr>
              <w:t>2, 3, 7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vertAlign w:val="superscript"/>
              </w:rPr>
            </w:pPr>
            <w:r w:rsidRPr="00547DB8">
              <w:rPr>
                <w:rFonts w:cs="Times New Roman"/>
              </w:rPr>
              <w:t>N</w:t>
            </w:r>
            <w:r w:rsidRPr="00547DB8">
              <w:rPr>
                <w:vertAlign w:val="superscript"/>
              </w:rPr>
              <w:t>5</w:t>
            </w:r>
          </w:p>
        </w:tc>
      </w:tr>
      <w:tr w:rsidR="00547DB8" w:rsidRPr="00547DB8" w:rsidTr="00EB3AD6">
        <w:trPr>
          <w:trHeight w:val="304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vertAlign w:val="superscript"/>
              </w:rPr>
            </w:pPr>
            <w:r w:rsidRPr="00547DB8">
              <w:rPr>
                <w:rFonts w:cs="Times New Roman"/>
              </w:rPr>
              <w:t>Vedení autorského kolektivu (odborné knihy)</w:t>
            </w:r>
            <w:r w:rsidRPr="00547DB8">
              <w:rPr>
                <w:rFonts w:cs="Times New Roman"/>
                <w:vertAlign w:val="superscript"/>
              </w:rPr>
              <w:t>5, 7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</w:rPr>
            </w:pPr>
            <w:r w:rsidRPr="00547DB8">
              <w:rPr>
                <w:rFonts w:cs="Times New Roman"/>
                <w:bCs/>
                <w:iCs/>
              </w:rPr>
              <w:t>4</w:t>
            </w:r>
          </w:p>
        </w:tc>
      </w:tr>
      <w:tr w:rsidR="00547DB8" w:rsidRPr="00547DB8" w:rsidTr="00EB3AD6">
        <w:trPr>
          <w:trHeight w:val="289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47DB8">
              <w:rPr>
                <w:rFonts w:cs="Times New Roman"/>
              </w:rPr>
              <w:t>Recenze v odborném časopise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</w:rPr>
            </w:pPr>
            <w:r w:rsidRPr="00547DB8">
              <w:rPr>
                <w:rFonts w:cs="Times New Roman"/>
                <w:bCs/>
                <w:iCs/>
              </w:rPr>
              <w:t>2</w:t>
            </w:r>
          </w:p>
        </w:tc>
      </w:tr>
      <w:tr w:rsidR="00547DB8" w:rsidRPr="00547DB8" w:rsidTr="00EB3AD6">
        <w:trPr>
          <w:trHeight w:val="319"/>
        </w:trPr>
        <w:tc>
          <w:tcPr>
            <w:tcW w:w="7092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vertAlign w:val="superscript"/>
              </w:rPr>
            </w:pPr>
            <w:r w:rsidRPr="00547DB8">
              <w:rPr>
                <w:rFonts w:cs="Times New Roman"/>
              </w:rPr>
              <w:t>Ostatní výsledky aplikovaného nebo smluvního výzkumu</w:t>
            </w:r>
            <w:r w:rsidRPr="00547DB8">
              <w:rPr>
                <w:rFonts w:cs="Times New Roman"/>
                <w:vertAlign w:val="superscript"/>
              </w:rPr>
              <w:t>6</w:t>
            </w:r>
          </w:p>
        </w:tc>
        <w:tc>
          <w:tcPr>
            <w:tcW w:w="1118" w:type="dxa"/>
          </w:tcPr>
          <w:p w:rsidR="005F16B9" w:rsidRPr="00547DB8" w:rsidRDefault="005F16B9" w:rsidP="00EB3AD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</w:rPr>
            </w:pPr>
            <w:r w:rsidRPr="00547DB8">
              <w:rPr>
                <w:rFonts w:cs="Times New Roman"/>
                <w:bCs/>
                <w:iCs/>
              </w:rPr>
              <w:t>Až 80</w:t>
            </w:r>
          </w:p>
        </w:tc>
      </w:tr>
    </w:tbl>
    <w:p w:rsidR="0001326E" w:rsidRDefault="0001326E" w:rsidP="0001326E">
      <w:pPr>
        <w:spacing w:after="0" w:line="240" w:lineRule="auto"/>
        <w:jc w:val="both"/>
      </w:pPr>
    </w:p>
    <w:p w:rsidR="005F16B9" w:rsidRPr="00547DB8" w:rsidRDefault="005F16B9" w:rsidP="0001326E">
      <w:pPr>
        <w:spacing w:after="0" w:line="240" w:lineRule="auto"/>
        <w:jc w:val="both"/>
      </w:pPr>
      <w:r w:rsidRPr="0001326E">
        <w:rPr>
          <w:vertAlign w:val="superscript"/>
        </w:rPr>
        <w:t xml:space="preserve">1 </w:t>
      </w:r>
      <w:r w:rsidRPr="00547DB8">
        <w:t>Výběr časopisů provede Ediční komise PF UP.</w:t>
      </w:r>
    </w:p>
    <w:p w:rsidR="005F16B9" w:rsidRPr="00547DB8" w:rsidRDefault="005F16B9" w:rsidP="0001326E">
      <w:pPr>
        <w:spacing w:after="0" w:line="240" w:lineRule="auto"/>
        <w:jc w:val="both"/>
      </w:pPr>
      <w:r w:rsidRPr="0001326E">
        <w:rPr>
          <w:vertAlign w:val="superscript"/>
        </w:rPr>
        <w:t xml:space="preserve">2 </w:t>
      </w:r>
      <w:r w:rsidRPr="00547DB8">
        <w:t xml:space="preserve">Za jednotlivé typy publikačních výstupů lze s ohledem na jejich excelenci přiznat více bodů. Odůvodněný písemný návrh předkládá autor odborného výstupu prostřednictvím vedoucího katedry proděkanovi pro vědu a výzkum. Výši přidělovaných bodů projednává a schvaluje na základě předloženého písemného návrhu Ediční komise PF UP na svém nejbližším řádném zasedání následujícím po roce vydání odborného výstupu. </w:t>
      </w:r>
    </w:p>
    <w:p w:rsidR="005F16B9" w:rsidRPr="00547DB8" w:rsidRDefault="005F16B9" w:rsidP="0001326E">
      <w:pPr>
        <w:spacing w:after="0" w:line="240" w:lineRule="auto"/>
        <w:jc w:val="both"/>
      </w:pPr>
      <w:r w:rsidRPr="0001326E">
        <w:rPr>
          <w:vertAlign w:val="superscript"/>
        </w:rPr>
        <w:t xml:space="preserve">3 </w:t>
      </w:r>
      <w:r w:rsidRPr="00547DB8">
        <w:t>N = poměrná část z bodového hodnocení odborné knihy podle podílu kapitol/-y na celkovém rozsahu odborné knihy, přičemž minimální ohodnocení podílu činí 5 bodů.</w:t>
      </w:r>
    </w:p>
    <w:p w:rsidR="005F16B9" w:rsidRPr="0001326E" w:rsidRDefault="005F16B9" w:rsidP="000132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01326E">
        <w:rPr>
          <w:rFonts w:eastAsia="Times New Roman" w:cs="Arial"/>
          <w:vertAlign w:val="superscript"/>
          <w:lang w:eastAsia="cs-CZ"/>
        </w:rPr>
        <w:t xml:space="preserve">4 </w:t>
      </w:r>
      <w:r w:rsidRPr="0001326E">
        <w:rPr>
          <w:rFonts w:eastAsia="Times New Roman" w:cs="Arial"/>
          <w:lang w:eastAsia="cs-CZ"/>
        </w:rPr>
        <w:t>Bodová hodnota publikačních výstupů vydaných ve </w:t>
      </w:r>
      <w:r w:rsidRPr="0001326E">
        <w:rPr>
          <w:rFonts w:eastAsia="Times New Roman" w:cs="Arial"/>
          <w:bCs/>
          <w:lang w:eastAsia="cs-CZ"/>
        </w:rPr>
        <w:t>vybraném světovém jazyce</w:t>
      </w:r>
      <w:r w:rsidRPr="00547DB8">
        <w:t xml:space="preserve"> (anglický, německý, španělský a francouzský jazyk, případně další jazyky schválené od hoc Ediční komisí PF UP) </w:t>
      </w:r>
      <w:r w:rsidRPr="0001326E">
        <w:rPr>
          <w:rFonts w:eastAsia="Times New Roman" w:cs="Arial"/>
          <w:lang w:eastAsia="cs-CZ"/>
        </w:rPr>
        <w:t xml:space="preserve">bez ohledu na místo vydání bude násobena koeficientem 1,5 (nevztahuje se na články v databázi </w:t>
      </w:r>
      <w:proofErr w:type="spellStart"/>
      <w:r w:rsidRPr="0001326E">
        <w:rPr>
          <w:rFonts w:eastAsia="Times New Roman" w:cs="Arial"/>
          <w:lang w:eastAsia="cs-CZ"/>
        </w:rPr>
        <w:t>WoS</w:t>
      </w:r>
      <w:proofErr w:type="spellEnd"/>
      <w:r w:rsidRPr="0001326E">
        <w:rPr>
          <w:rFonts w:eastAsia="Times New Roman" w:cs="Arial"/>
          <w:lang w:eastAsia="cs-CZ"/>
        </w:rPr>
        <w:t xml:space="preserve"> a </w:t>
      </w:r>
      <w:proofErr w:type="spellStart"/>
      <w:r w:rsidRPr="0001326E">
        <w:rPr>
          <w:rFonts w:eastAsia="Times New Roman" w:cs="Arial"/>
          <w:lang w:eastAsia="cs-CZ"/>
        </w:rPr>
        <w:t>Scopus</w:t>
      </w:r>
      <w:proofErr w:type="spellEnd"/>
      <w:r w:rsidRPr="0001326E">
        <w:rPr>
          <w:rFonts w:eastAsia="Times New Roman" w:cs="Arial"/>
          <w:lang w:eastAsia="cs-CZ"/>
        </w:rPr>
        <w:t>).</w:t>
      </w:r>
    </w:p>
    <w:p w:rsidR="005F16B9" w:rsidRPr="00547DB8" w:rsidRDefault="005F16B9" w:rsidP="0001326E">
      <w:pPr>
        <w:spacing w:after="0" w:line="240" w:lineRule="auto"/>
        <w:jc w:val="both"/>
      </w:pPr>
      <w:r w:rsidRPr="0001326E">
        <w:rPr>
          <w:vertAlign w:val="superscript"/>
        </w:rPr>
        <w:t xml:space="preserve">5 </w:t>
      </w:r>
      <w:r w:rsidRPr="00547DB8">
        <w:t>Nejde o editorskou činnost, která je technického rázu, ale o systematické vedení autorského kolektivu (vedoucí autorského kolektivu např. čte všechny příspěvky, připomínkuje, tak aby logicky tvořily jednu ucelenou vědeckou nebo odbornou monografii, píše úvod a shrnující závěr).</w:t>
      </w:r>
    </w:p>
    <w:p w:rsidR="005F16B9" w:rsidRPr="00547DB8" w:rsidRDefault="005F16B9" w:rsidP="0001326E">
      <w:pPr>
        <w:autoSpaceDE w:val="0"/>
        <w:autoSpaceDN w:val="0"/>
        <w:adjustRightInd w:val="0"/>
        <w:spacing w:after="0" w:line="240" w:lineRule="auto"/>
        <w:jc w:val="both"/>
      </w:pPr>
      <w:r w:rsidRPr="0001326E">
        <w:rPr>
          <w:vertAlign w:val="superscript"/>
        </w:rPr>
        <w:lastRenderedPageBreak/>
        <w:t xml:space="preserve">6 </w:t>
      </w:r>
      <w:r w:rsidRPr="00547DB8">
        <w:t>Např. výsledky promítnuté do právních předpisů a norem výsledky promítnuté do směrnic a předpisů nelegislativní povahy závazných v rámci kompetence příslušného poskytovatele, výsledky promítnuté do schválených strategických a koncepčních dokumentů orgánů veřejné správy, apod.</w:t>
      </w:r>
    </w:p>
    <w:p w:rsidR="005F16B9" w:rsidRPr="0001326E" w:rsidRDefault="005F16B9" w:rsidP="0001326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01326E">
        <w:rPr>
          <w:vertAlign w:val="superscript"/>
        </w:rPr>
        <w:t xml:space="preserve">7 </w:t>
      </w:r>
      <w:r w:rsidRPr="00547DB8">
        <w:t>U dalšího aktualizovaného vydání odborné knihy, odborného komentáře, učebnice nebo skript se základní bodové hodnocení násobí koeficientem 0,25–1,0 podle rozsahu aktualizací. Uvedené platí i pro evidenci a hodnocení samostatných kapitol v odborných knihách a odborných komentářích. Odůvodnění pro použití koeficientu v určité výši předloží proděkanovi pro vědu a výzkum a doktorský studijní program písemně vedoucí katedry na návrh autora publikace. Navrženou hodnotu koeficientu a přidělené body publikaci projednává a schvaluje Ediční komise PF UP.</w:t>
      </w:r>
    </w:p>
    <w:p w:rsidR="00377912" w:rsidRPr="0001326E" w:rsidRDefault="00377912" w:rsidP="0001326E">
      <w:pPr>
        <w:rPr>
          <w:b/>
        </w:rPr>
      </w:pPr>
    </w:p>
    <w:p w:rsidR="00377912" w:rsidRDefault="00377912" w:rsidP="00F53F8C">
      <w:pPr>
        <w:pStyle w:val="Odstavecseseznamem"/>
        <w:rPr>
          <w:b/>
        </w:rPr>
      </w:pPr>
    </w:p>
    <w:p w:rsidR="00377912" w:rsidRDefault="00377912" w:rsidP="00F53F8C">
      <w:pPr>
        <w:pStyle w:val="Odstavecseseznamem"/>
        <w:rPr>
          <w:b/>
        </w:rPr>
      </w:pPr>
    </w:p>
    <w:p w:rsidR="00377912" w:rsidRPr="00377912" w:rsidRDefault="00377912" w:rsidP="00377912">
      <w:pPr>
        <w:pStyle w:val="Odstavecseseznamem"/>
        <w:jc w:val="right"/>
      </w:pPr>
      <w:r w:rsidRPr="00377912">
        <w:t xml:space="preserve">Zapsal: L. Walek, </w:t>
      </w:r>
      <w:proofErr w:type="gramStart"/>
      <w:r w:rsidRPr="00377912">
        <w:t>7.11.2016</w:t>
      </w:r>
      <w:proofErr w:type="gramEnd"/>
    </w:p>
    <w:sectPr w:rsidR="00377912" w:rsidRPr="0037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EC9"/>
    <w:multiLevelType w:val="hybridMultilevel"/>
    <w:tmpl w:val="82462B4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384C7CA1"/>
    <w:multiLevelType w:val="hybridMultilevel"/>
    <w:tmpl w:val="C23E7A7E"/>
    <w:lvl w:ilvl="0" w:tplc="37B6C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510C"/>
    <w:multiLevelType w:val="hybridMultilevel"/>
    <w:tmpl w:val="2B3C1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400F"/>
    <w:multiLevelType w:val="hybridMultilevel"/>
    <w:tmpl w:val="719AB9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65E1"/>
    <w:multiLevelType w:val="hybridMultilevel"/>
    <w:tmpl w:val="64E66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4"/>
    <w:rsid w:val="0001326E"/>
    <w:rsid w:val="0003356F"/>
    <w:rsid w:val="00251FA6"/>
    <w:rsid w:val="0025439D"/>
    <w:rsid w:val="00377912"/>
    <w:rsid w:val="003A3112"/>
    <w:rsid w:val="00405082"/>
    <w:rsid w:val="00433778"/>
    <w:rsid w:val="004A7138"/>
    <w:rsid w:val="00547DB8"/>
    <w:rsid w:val="005D6614"/>
    <w:rsid w:val="005F16B9"/>
    <w:rsid w:val="006C13DF"/>
    <w:rsid w:val="008A0D21"/>
    <w:rsid w:val="008C0C4B"/>
    <w:rsid w:val="00D01698"/>
    <w:rsid w:val="00E4257D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8B54-0922-4F03-8C34-12218E7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614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66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6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6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66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6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614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03356F"/>
  </w:style>
  <w:style w:type="table" w:styleId="Mkatabulky">
    <w:name w:val="Table Grid"/>
    <w:basedOn w:val="Normlntabulka"/>
    <w:uiPriority w:val="59"/>
    <w:rsid w:val="005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7607</Characters>
  <Application>Microsoft Office Word</Application>
  <DocSecurity>0</DocSecurity>
  <Lines>126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</dc:creator>
  <cp:lastModifiedBy>Blanka Vítová</cp:lastModifiedBy>
  <cp:revision>2</cp:revision>
  <dcterms:created xsi:type="dcterms:W3CDTF">2016-11-12T09:20:00Z</dcterms:created>
  <dcterms:modified xsi:type="dcterms:W3CDTF">2016-11-12T09:20:00Z</dcterms:modified>
</cp:coreProperties>
</file>